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3190F" w14:textId="77777777" w:rsidR="00D544E1" w:rsidRDefault="00D544E1"/>
    <w:p w14:paraId="4E244059" w14:textId="77777777" w:rsidR="00D544E1" w:rsidRDefault="00D544E1"/>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D544E1" w:rsidRPr="00CD0F7E" w14:paraId="71DF53A8" w14:textId="77777777" w:rsidTr="00AE67F6">
        <w:trPr>
          <w:trHeight w:hRule="exact" w:val="595"/>
        </w:trPr>
        <w:tc>
          <w:tcPr>
            <w:tcW w:w="4394" w:type="dxa"/>
          </w:tcPr>
          <w:p w14:paraId="0657A795" w14:textId="77777777" w:rsidR="00D544E1" w:rsidRPr="00CD0F7E" w:rsidRDefault="00D544E1" w:rsidP="00AE67F6">
            <w:pPr>
              <w:spacing w:after="0" w:line="240" w:lineRule="auto"/>
              <w:rPr>
                <w:rFonts w:ascii="Agfa Rotis Sans Serif Ex Bold" w:hAnsi="Agfa Rotis Sans Serif Ex Bold"/>
              </w:rPr>
            </w:pPr>
          </w:p>
        </w:tc>
        <w:tc>
          <w:tcPr>
            <w:tcW w:w="2030" w:type="dxa"/>
          </w:tcPr>
          <w:p w14:paraId="6BC4AFE8" w14:textId="77777777" w:rsidR="00D544E1" w:rsidRPr="00CD0F7E" w:rsidRDefault="00D544E1" w:rsidP="00AE67F6">
            <w:pPr>
              <w:spacing w:after="0" w:line="240" w:lineRule="auto"/>
              <w:rPr>
                <w:rFonts w:ascii="Agfa Rotis Sans Serif Ex Bold" w:hAnsi="Agfa Rotis Sans Serif Ex Bold"/>
              </w:rPr>
            </w:pPr>
          </w:p>
        </w:tc>
        <w:tc>
          <w:tcPr>
            <w:tcW w:w="2994" w:type="dxa"/>
          </w:tcPr>
          <w:p w14:paraId="739D3AA2" w14:textId="77777777" w:rsidR="00D544E1" w:rsidRPr="00CD0F7E" w:rsidRDefault="00D544E1" w:rsidP="00AE67F6">
            <w:pPr>
              <w:spacing w:after="0" w:line="240" w:lineRule="auto"/>
              <w:rPr>
                <w:rFonts w:ascii="Agfa Rotis Sans Serif Ex Bold" w:hAnsi="Agfa Rotis Sans Serif Ex Bold"/>
              </w:rPr>
            </w:pPr>
          </w:p>
        </w:tc>
      </w:tr>
      <w:tr w:rsidR="00D544E1" w:rsidRPr="00CD0F7E" w14:paraId="0196CCA8" w14:textId="77777777" w:rsidTr="00AE67F6">
        <w:trPr>
          <w:trHeight w:hRule="exact" w:val="227"/>
        </w:trPr>
        <w:tc>
          <w:tcPr>
            <w:tcW w:w="4394" w:type="dxa"/>
          </w:tcPr>
          <w:p w14:paraId="1F994925" w14:textId="77777777" w:rsidR="00D544E1" w:rsidRPr="00CD0F7E" w:rsidRDefault="00D544E1" w:rsidP="00AE67F6">
            <w:pPr>
              <w:spacing w:after="0" w:line="240" w:lineRule="auto"/>
              <w:rPr>
                <w:rFonts w:ascii="Agfa Rotis Sans Serif" w:hAnsi="Agfa Rotis Sans Serif"/>
                <w:sz w:val="15"/>
                <w:szCs w:val="15"/>
              </w:rPr>
            </w:pPr>
          </w:p>
        </w:tc>
        <w:tc>
          <w:tcPr>
            <w:tcW w:w="2030" w:type="dxa"/>
          </w:tcPr>
          <w:p w14:paraId="5697E6AF" w14:textId="77777777" w:rsidR="00D544E1" w:rsidRPr="00CD0F7E" w:rsidRDefault="00D544E1" w:rsidP="00AE67F6">
            <w:pPr>
              <w:spacing w:after="0" w:line="240" w:lineRule="auto"/>
              <w:rPr>
                <w:rFonts w:ascii="Agfa Rotis Sans Serif Light" w:hAnsi="Agfa Rotis Sans Serif Light"/>
                <w:sz w:val="12"/>
              </w:rPr>
            </w:pPr>
          </w:p>
        </w:tc>
        <w:tc>
          <w:tcPr>
            <w:tcW w:w="2994" w:type="dxa"/>
          </w:tcPr>
          <w:p w14:paraId="1C79A40A" w14:textId="77777777" w:rsidR="00D544E1" w:rsidRPr="00CD0F7E" w:rsidRDefault="00D544E1" w:rsidP="00AE67F6">
            <w:pPr>
              <w:spacing w:after="0" w:line="240" w:lineRule="auto"/>
              <w:rPr>
                <w:rFonts w:ascii="Agfa Rotis Sans Serif Light" w:hAnsi="Agfa Rotis Sans Serif Light"/>
                <w:sz w:val="15"/>
                <w:szCs w:val="15"/>
              </w:rPr>
            </w:pPr>
          </w:p>
        </w:tc>
      </w:tr>
      <w:tr w:rsidR="00D544E1" w:rsidRPr="00867FF5" w14:paraId="20715EC9" w14:textId="77777777" w:rsidTr="00AE67F6">
        <w:trPr>
          <w:trHeight w:hRule="exact" w:val="227"/>
        </w:trPr>
        <w:tc>
          <w:tcPr>
            <w:tcW w:w="4394" w:type="dxa"/>
            <w:vMerge w:val="restart"/>
          </w:tcPr>
          <w:p w14:paraId="11360547" w14:textId="77777777" w:rsidR="00D544E1" w:rsidRPr="00867FF5" w:rsidRDefault="00D544E1" w:rsidP="00AE67F6">
            <w:pPr>
              <w:spacing w:after="0" w:line="240" w:lineRule="auto"/>
              <w:rPr>
                <w:rFonts w:asciiTheme="minorHAnsi" w:hAnsiTheme="minorHAnsi"/>
                <w:highlight w:val="yellow"/>
                <w:lang w:val="en-US"/>
              </w:rPr>
            </w:pPr>
            <w:r w:rsidRPr="00867FF5">
              <w:rPr>
                <w:rFonts w:asciiTheme="minorHAnsi" w:hAnsiTheme="minorHAnsi"/>
                <w:highlight w:val="yellow"/>
                <w:lang w:val="en-US"/>
              </w:rPr>
              <w:t xml:space="preserve">Ms. Jessika Roswall </w:t>
            </w:r>
          </w:p>
          <w:p w14:paraId="607529C4" w14:textId="77777777" w:rsidR="00D544E1" w:rsidRPr="00867FF5" w:rsidRDefault="00D544E1" w:rsidP="00AE67F6">
            <w:pPr>
              <w:spacing w:after="0" w:line="240" w:lineRule="auto"/>
              <w:rPr>
                <w:rFonts w:asciiTheme="minorHAnsi" w:hAnsiTheme="minorHAnsi"/>
                <w:highlight w:val="yellow"/>
                <w:lang w:val="en-US"/>
              </w:rPr>
            </w:pPr>
            <w:r w:rsidRPr="00867FF5">
              <w:rPr>
                <w:rFonts w:asciiTheme="minorHAnsi" w:hAnsiTheme="minorHAnsi"/>
                <w:highlight w:val="yellow"/>
                <w:lang w:val="en-US"/>
              </w:rPr>
              <w:t xml:space="preserve">Commissioner for Environment, Water Resilience and a Competitive Circular Economy European Commission </w:t>
            </w:r>
          </w:p>
          <w:p w14:paraId="09D039A8" w14:textId="77777777" w:rsidR="00D544E1" w:rsidRPr="00867FF5" w:rsidRDefault="00D544E1" w:rsidP="00AE67F6">
            <w:pPr>
              <w:spacing w:after="0" w:line="240" w:lineRule="auto"/>
              <w:rPr>
                <w:rFonts w:asciiTheme="minorHAnsi" w:hAnsiTheme="minorHAnsi"/>
                <w:highlight w:val="yellow"/>
                <w:lang w:val="fr-FR"/>
              </w:rPr>
            </w:pPr>
            <w:r w:rsidRPr="00867FF5">
              <w:rPr>
                <w:rFonts w:asciiTheme="minorHAnsi" w:hAnsiTheme="minorHAnsi"/>
                <w:highlight w:val="yellow"/>
                <w:lang w:val="fr-FR"/>
              </w:rPr>
              <w:t xml:space="preserve">Rue de la Loi 200 </w:t>
            </w:r>
          </w:p>
          <w:p w14:paraId="14409DFA" w14:textId="77777777" w:rsidR="00D544E1" w:rsidRPr="00867FF5" w:rsidRDefault="00D544E1" w:rsidP="00AE67F6">
            <w:pPr>
              <w:spacing w:after="0" w:line="240" w:lineRule="auto"/>
              <w:rPr>
                <w:rFonts w:asciiTheme="minorHAnsi" w:hAnsiTheme="minorHAnsi"/>
                <w:highlight w:val="yellow"/>
                <w:lang w:val="fr-FR"/>
              </w:rPr>
            </w:pPr>
            <w:r w:rsidRPr="00867FF5">
              <w:rPr>
                <w:rFonts w:asciiTheme="minorHAnsi" w:hAnsiTheme="minorHAnsi"/>
                <w:highlight w:val="yellow"/>
                <w:lang w:val="fr-FR"/>
              </w:rPr>
              <w:t xml:space="preserve">1049 Brussels </w:t>
            </w:r>
          </w:p>
          <w:p w14:paraId="0DF93F4A" w14:textId="77777777" w:rsidR="00D544E1" w:rsidRPr="00D544E1" w:rsidRDefault="00D544E1" w:rsidP="00AE67F6">
            <w:pPr>
              <w:spacing w:after="0" w:line="240" w:lineRule="auto"/>
              <w:rPr>
                <w:rFonts w:asciiTheme="minorHAnsi" w:hAnsiTheme="minorHAnsi"/>
                <w:lang w:val="fr-FR"/>
              </w:rPr>
            </w:pPr>
            <w:proofErr w:type="spellStart"/>
            <w:r w:rsidRPr="00867FF5">
              <w:rPr>
                <w:rFonts w:asciiTheme="minorHAnsi" w:hAnsiTheme="minorHAnsi"/>
                <w:highlight w:val="yellow"/>
                <w:lang w:val="fr-FR"/>
              </w:rPr>
              <w:t>Belgium</w:t>
            </w:r>
            <w:proofErr w:type="spellEnd"/>
          </w:p>
          <w:p w14:paraId="2DFDA797" w14:textId="77777777" w:rsidR="00D544E1" w:rsidRPr="00D544E1" w:rsidRDefault="00D544E1" w:rsidP="00AE67F6">
            <w:pPr>
              <w:spacing w:after="0" w:line="240" w:lineRule="auto"/>
              <w:rPr>
                <w:rFonts w:asciiTheme="minorHAnsi" w:hAnsiTheme="minorHAnsi"/>
                <w:lang w:val="fr-FR"/>
              </w:rPr>
            </w:pPr>
          </w:p>
        </w:tc>
        <w:tc>
          <w:tcPr>
            <w:tcW w:w="2030" w:type="dxa"/>
            <w:vMerge w:val="restart"/>
          </w:tcPr>
          <w:p w14:paraId="77131E0C" w14:textId="77777777" w:rsidR="00D544E1" w:rsidRPr="00D544E1" w:rsidRDefault="00D544E1" w:rsidP="00AE67F6">
            <w:pPr>
              <w:spacing w:after="0" w:line="240" w:lineRule="auto"/>
              <w:rPr>
                <w:rFonts w:asciiTheme="minorHAnsi" w:hAnsiTheme="minorHAnsi"/>
                <w:sz w:val="2"/>
                <w:szCs w:val="2"/>
                <w:lang w:val="fr-FR"/>
              </w:rPr>
            </w:pPr>
          </w:p>
        </w:tc>
        <w:tc>
          <w:tcPr>
            <w:tcW w:w="2994" w:type="dxa"/>
          </w:tcPr>
          <w:p w14:paraId="3374BC87" w14:textId="77777777" w:rsidR="00D544E1" w:rsidRPr="00D544E1" w:rsidRDefault="00D544E1" w:rsidP="00AE67F6">
            <w:pPr>
              <w:spacing w:after="0" w:line="240" w:lineRule="auto"/>
              <w:rPr>
                <w:rFonts w:asciiTheme="minorHAnsi" w:hAnsiTheme="minorHAnsi"/>
                <w:sz w:val="18"/>
                <w:lang w:val="fr-FR"/>
              </w:rPr>
            </w:pPr>
          </w:p>
        </w:tc>
      </w:tr>
      <w:tr w:rsidR="00D544E1" w:rsidRPr="00867FF5" w14:paraId="3E87C6E0" w14:textId="77777777" w:rsidTr="00AE67F6">
        <w:trPr>
          <w:trHeight w:hRule="exact" w:val="340"/>
        </w:trPr>
        <w:tc>
          <w:tcPr>
            <w:tcW w:w="4394" w:type="dxa"/>
            <w:vMerge/>
          </w:tcPr>
          <w:p w14:paraId="384E1365" w14:textId="77777777" w:rsidR="00D544E1" w:rsidRPr="00D544E1" w:rsidRDefault="00D544E1" w:rsidP="00AE67F6">
            <w:pPr>
              <w:pStyle w:val="Adressfeld"/>
              <w:rPr>
                <w:lang w:val="fr-FR"/>
              </w:rPr>
            </w:pPr>
          </w:p>
        </w:tc>
        <w:tc>
          <w:tcPr>
            <w:tcW w:w="2030" w:type="dxa"/>
            <w:vMerge/>
          </w:tcPr>
          <w:p w14:paraId="264AE362" w14:textId="77777777" w:rsidR="00D544E1" w:rsidRPr="00D544E1" w:rsidRDefault="00D544E1" w:rsidP="00AE67F6">
            <w:pPr>
              <w:spacing w:after="0" w:line="240" w:lineRule="auto"/>
              <w:rPr>
                <w:sz w:val="2"/>
                <w:szCs w:val="2"/>
                <w:lang w:val="fr-FR"/>
              </w:rPr>
            </w:pPr>
          </w:p>
        </w:tc>
        <w:tc>
          <w:tcPr>
            <w:tcW w:w="2994" w:type="dxa"/>
          </w:tcPr>
          <w:p w14:paraId="2201EA57" w14:textId="77777777" w:rsidR="00D544E1" w:rsidRPr="00D544E1" w:rsidRDefault="00D544E1" w:rsidP="00AE67F6">
            <w:pPr>
              <w:spacing w:after="0" w:line="240" w:lineRule="auto"/>
              <w:rPr>
                <w:rFonts w:asciiTheme="minorHAnsi" w:hAnsiTheme="minorHAnsi"/>
                <w:sz w:val="18"/>
                <w:lang w:val="fr-FR"/>
              </w:rPr>
            </w:pPr>
          </w:p>
        </w:tc>
      </w:tr>
      <w:tr w:rsidR="00D544E1" w:rsidRPr="00867FF5" w14:paraId="61832029" w14:textId="77777777" w:rsidTr="00AE67F6">
        <w:trPr>
          <w:trHeight w:hRule="exact" w:val="227"/>
        </w:trPr>
        <w:tc>
          <w:tcPr>
            <w:tcW w:w="4394" w:type="dxa"/>
            <w:vMerge/>
          </w:tcPr>
          <w:p w14:paraId="79E54CD9" w14:textId="77777777" w:rsidR="00D544E1" w:rsidRPr="00D544E1" w:rsidRDefault="00D544E1" w:rsidP="00AE67F6">
            <w:pPr>
              <w:spacing w:after="0" w:line="240" w:lineRule="auto"/>
              <w:rPr>
                <w:sz w:val="12"/>
                <w:lang w:val="fr-FR"/>
              </w:rPr>
            </w:pPr>
          </w:p>
        </w:tc>
        <w:tc>
          <w:tcPr>
            <w:tcW w:w="2030" w:type="dxa"/>
            <w:vMerge/>
          </w:tcPr>
          <w:p w14:paraId="6CC219FD" w14:textId="77777777" w:rsidR="00D544E1" w:rsidRPr="00D544E1" w:rsidRDefault="00D544E1" w:rsidP="00AE67F6">
            <w:pPr>
              <w:spacing w:after="0" w:line="240" w:lineRule="auto"/>
              <w:rPr>
                <w:sz w:val="2"/>
                <w:szCs w:val="2"/>
                <w:lang w:val="fr-FR"/>
              </w:rPr>
            </w:pPr>
          </w:p>
        </w:tc>
        <w:tc>
          <w:tcPr>
            <w:tcW w:w="2994" w:type="dxa"/>
          </w:tcPr>
          <w:p w14:paraId="6D6BF42C" w14:textId="77777777" w:rsidR="00D544E1" w:rsidRPr="00D544E1" w:rsidRDefault="00D544E1" w:rsidP="00AE67F6">
            <w:pPr>
              <w:spacing w:after="0" w:line="240" w:lineRule="auto"/>
              <w:rPr>
                <w:rFonts w:ascii="Agfa Rotis Sans Serif" w:hAnsi="Agfa Rotis Sans Serif"/>
                <w:sz w:val="14"/>
                <w:szCs w:val="14"/>
                <w:lang w:val="fr-FR"/>
              </w:rPr>
            </w:pPr>
          </w:p>
        </w:tc>
      </w:tr>
      <w:tr w:rsidR="00D544E1" w:rsidRPr="00867FF5" w14:paraId="7C016E15" w14:textId="77777777" w:rsidTr="00AE67F6">
        <w:trPr>
          <w:trHeight w:hRule="exact" w:val="340"/>
        </w:trPr>
        <w:tc>
          <w:tcPr>
            <w:tcW w:w="4394" w:type="dxa"/>
            <w:vMerge/>
          </w:tcPr>
          <w:p w14:paraId="7E75BF8C" w14:textId="77777777" w:rsidR="00D544E1" w:rsidRPr="00D544E1" w:rsidRDefault="00D544E1" w:rsidP="00AE67F6">
            <w:pPr>
              <w:spacing w:after="0" w:line="240" w:lineRule="auto"/>
              <w:rPr>
                <w:lang w:val="fr-FR"/>
              </w:rPr>
            </w:pPr>
          </w:p>
        </w:tc>
        <w:tc>
          <w:tcPr>
            <w:tcW w:w="2030" w:type="dxa"/>
            <w:vMerge/>
          </w:tcPr>
          <w:p w14:paraId="06426B54" w14:textId="77777777" w:rsidR="00D544E1" w:rsidRPr="00D544E1" w:rsidRDefault="00D544E1" w:rsidP="00AE67F6">
            <w:pPr>
              <w:spacing w:after="0" w:line="240" w:lineRule="auto"/>
              <w:rPr>
                <w:sz w:val="2"/>
                <w:szCs w:val="2"/>
                <w:lang w:val="fr-FR"/>
              </w:rPr>
            </w:pPr>
          </w:p>
        </w:tc>
        <w:tc>
          <w:tcPr>
            <w:tcW w:w="2994" w:type="dxa"/>
          </w:tcPr>
          <w:p w14:paraId="3D1C2698" w14:textId="77777777" w:rsidR="00D544E1" w:rsidRPr="00D544E1" w:rsidRDefault="00D544E1" w:rsidP="00AE67F6">
            <w:pPr>
              <w:pStyle w:val="Korrespondenzblock"/>
              <w:spacing w:line="240" w:lineRule="auto"/>
              <w:rPr>
                <w:rFonts w:asciiTheme="minorHAnsi" w:hAnsiTheme="minorHAnsi"/>
                <w:lang w:val="fr-FR"/>
              </w:rPr>
            </w:pPr>
          </w:p>
        </w:tc>
      </w:tr>
      <w:tr w:rsidR="00D544E1" w:rsidRPr="00867FF5" w14:paraId="5AAA7D09" w14:textId="77777777" w:rsidTr="00AE67F6">
        <w:trPr>
          <w:trHeight w:hRule="exact" w:val="227"/>
        </w:trPr>
        <w:tc>
          <w:tcPr>
            <w:tcW w:w="4394" w:type="dxa"/>
            <w:vMerge/>
          </w:tcPr>
          <w:p w14:paraId="5DE905CD" w14:textId="77777777" w:rsidR="00D544E1" w:rsidRPr="00D544E1" w:rsidRDefault="00D544E1" w:rsidP="00AE67F6">
            <w:pPr>
              <w:spacing w:after="0" w:line="240" w:lineRule="auto"/>
              <w:rPr>
                <w:sz w:val="12"/>
                <w:lang w:val="fr-FR"/>
              </w:rPr>
            </w:pPr>
          </w:p>
        </w:tc>
        <w:tc>
          <w:tcPr>
            <w:tcW w:w="2030" w:type="dxa"/>
            <w:vMerge/>
          </w:tcPr>
          <w:p w14:paraId="4F907226" w14:textId="77777777" w:rsidR="00D544E1" w:rsidRPr="00D544E1" w:rsidRDefault="00D544E1" w:rsidP="00AE67F6">
            <w:pPr>
              <w:spacing w:after="0" w:line="240" w:lineRule="auto"/>
              <w:rPr>
                <w:sz w:val="2"/>
                <w:szCs w:val="2"/>
                <w:lang w:val="fr-FR"/>
              </w:rPr>
            </w:pPr>
          </w:p>
        </w:tc>
        <w:tc>
          <w:tcPr>
            <w:tcW w:w="2994" w:type="dxa"/>
          </w:tcPr>
          <w:p w14:paraId="7377EC20" w14:textId="77777777" w:rsidR="00D544E1" w:rsidRPr="00D544E1" w:rsidRDefault="00D544E1" w:rsidP="00AE67F6">
            <w:pPr>
              <w:spacing w:after="0" w:line="240" w:lineRule="auto"/>
              <w:rPr>
                <w:rFonts w:ascii="Agfa Rotis Sans Serif" w:hAnsi="Agfa Rotis Sans Serif"/>
                <w:sz w:val="14"/>
                <w:szCs w:val="14"/>
                <w:lang w:val="fr-FR"/>
              </w:rPr>
            </w:pPr>
          </w:p>
        </w:tc>
      </w:tr>
      <w:tr w:rsidR="00D544E1" w:rsidRPr="00867FF5" w14:paraId="4F86A9D8" w14:textId="77777777" w:rsidTr="00AE67F6">
        <w:trPr>
          <w:trHeight w:hRule="exact" w:val="340"/>
        </w:trPr>
        <w:tc>
          <w:tcPr>
            <w:tcW w:w="4394" w:type="dxa"/>
            <w:vMerge/>
          </w:tcPr>
          <w:p w14:paraId="598BB462" w14:textId="77777777" w:rsidR="00D544E1" w:rsidRPr="00D544E1" w:rsidRDefault="00D544E1" w:rsidP="00AE67F6">
            <w:pPr>
              <w:spacing w:after="0" w:line="240" w:lineRule="auto"/>
              <w:rPr>
                <w:lang w:val="fr-FR"/>
              </w:rPr>
            </w:pPr>
          </w:p>
        </w:tc>
        <w:tc>
          <w:tcPr>
            <w:tcW w:w="2030" w:type="dxa"/>
            <w:vMerge/>
          </w:tcPr>
          <w:p w14:paraId="5F9405F1" w14:textId="77777777" w:rsidR="00D544E1" w:rsidRPr="00D544E1" w:rsidRDefault="00D544E1" w:rsidP="00AE67F6">
            <w:pPr>
              <w:spacing w:after="0" w:line="240" w:lineRule="auto"/>
              <w:rPr>
                <w:sz w:val="2"/>
                <w:szCs w:val="2"/>
                <w:lang w:val="fr-FR"/>
              </w:rPr>
            </w:pPr>
          </w:p>
        </w:tc>
        <w:tc>
          <w:tcPr>
            <w:tcW w:w="2994" w:type="dxa"/>
          </w:tcPr>
          <w:p w14:paraId="4CB4CF6F" w14:textId="77777777" w:rsidR="00D544E1" w:rsidRPr="00D544E1" w:rsidRDefault="00D544E1" w:rsidP="00AE67F6">
            <w:pPr>
              <w:spacing w:after="0" w:line="240" w:lineRule="auto"/>
              <w:rPr>
                <w:rFonts w:asciiTheme="minorHAnsi" w:hAnsiTheme="minorHAnsi"/>
                <w:lang w:val="fr-FR"/>
              </w:rPr>
            </w:pPr>
          </w:p>
        </w:tc>
      </w:tr>
      <w:tr w:rsidR="00D544E1" w:rsidRPr="00867FF5" w14:paraId="516D3A87" w14:textId="77777777" w:rsidTr="00AE67F6">
        <w:trPr>
          <w:trHeight w:hRule="exact" w:val="227"/>
        </w:trPr>
        <w:tc>
          <w:tcPr>
            <w:tcW w:w="4394" w:type="dxa"/>
            <w:vMerge/>
          </w:tcPr>
          <w:p w14:paraId="7C2E991C" w14:textId="77777777" w:rsidR="00D544E1" w:rsidRPr="00D544E1" w:rsidRDefault="00D544E1" w:rsidP="00AE67F6">
            <w:pPr>
              <w:spacing w:after="0" w:line="240" w:lineRule="auto"/>
              <w:rPr>
                <w:lang w:val="fr-FR"/>
              </w:rPr>
            </w:pPr>
          </w:p>
        </w:tc>
        <w:tc>
          <w:tcPr>
            <w:tcW w:w="2030" w:type="dxa"/>
            <w:vMerge/>
          </w:tcPr>
          <w:p w14:paraId="22B4B89E" w14:textId="77777777" w:rsidR="00D544E1" w:rsidRPr="00D544E1" w:rsidRDefault="00D544E1" w:rsidP="00AE67F6">
            <w:pPr>
              <w:spacing w:after="0" w:line="240" w:lineRule="auto"/>
              <w:rPr>
                <w:sz w:val="2"/>
                <w:szCs w:val="2"/>
                <w:lang w:val="fr-FR"/>
              </w:rPr>
            </w:pPr>
          </w:p>
        </w:tc>
        <w:tc>
          <w:tcPr>
            <w:tcW w:w="2994" w:type="dxa"/>
          </w:tcPr>
          <w:p w14:paraId="0A1B392D" w14:textId="77777777" w:rsidR="00D544E1" w:rsidRPr="00D544E1" w:rsidRDefault="00D544E1" w:rsidP="00AE67F6">
            <w:pPr>
              <w:spacing w:after="0" w:line="240" w:lineRule="auto"/>
              <w:rPr>
                <w:lang w:val="fr-FR"/>
              </w:rPr>
            </w:pPr>
          </w:p>
        </w:tc>
      </w:tr>
      <w:tr w:rsidR="00D544E1" w:rsidRPr="00867FF5" w14:paraId="602D2801" w14:textId="77777777" w:rsidTr="00AE67F6">
        <w:trPr>
          <w:trHeight w:hRule="exact" w:val="340"/>
        </w:trPr>
        <w:tc>
          <w:tcPr>
            <w:tcW w:w="4394" w:type="dxa"/>
            <w:vMerge/>
          </w:tcPr>
          <w:p w14:paraId="666B3C4F" w14:textId="77777777" w:rsidR="00D544E1" w:rsidRPr="00D544E1" w:rsidRDefault="00D544E1" w:rsidP="00AE67F6">
            <w:pPr>
              <w:spacing w:after="0" w:line="240" w:lineRule="auto"/>
              <w:rPr>
                <w:lang w:val="fr-FR"/>
              </w:rPr>
            </w:pPr>
          </w:p>
        </w:tc>
        <w:tc>
          <w:tcPr>
            <w:tcW w:w="2030" w:type="dxa"/>
            <w:vMerge/>
          </w:tcPr>
          <w:p w14:paraId="3AF598C9" w14:textId="77777777" w:rsidR="00D544E1" w:rsidRPr="00D544E1" w:rsidRDefault="00D544E1" w:rsidP="00AE67F6">
            <w:pPr>
              <w:spacing w:after="0" w:line="240" w:lineRule="auto"/>
              <w:rPr>
                <w:sz w:val="2"/>
                <w:szCs w:val="2"/>
                <w:lang w:val="fr-FR"/>
              </w:rPr>
            </w:pPr>
          </w:p>
        </w:tc>
        <w:tc>
          <w:tcPr>
            <w:tcW w:w="2994" w:type="dxa"/>
          </w:tcPr>
          <w:p w14:paraId="7AF33B0C" w14:textId="77777777" w:rsidR="00D544E1" w:rsidRPr="00D544E1" w:rsidRDefault="00D544E1" w:rsidP="00AE67F6">
            <w:pPr>
              <w:spacing w:after="0" w:line="240" w:lineRule="auto"/>
              <w:rPr>
                <w:rFonts w:asciiTheme="minorHAnsi" w:hAnsiTheme="minorHAnsi"/>
                <w:lang w:val="fr-FR"/>
              </w:rPr>
            </w:pPr>
          </w:p>
        </w:tc>
      </w:tr>
      <w:tr w:rsidR="00D544E1" w:rsidRPr="00867FF5" w14:paraId="56D5EC5B" w14:textId="77777777" w:rsidTr="00AE67F6">
        <w:trPr>
          <w:trHeight w:hRule="exact" w:val="283"/>
        </w:trPr>
        <w:tc>
          <w:tcPr>
            <w:tcW w:w="4394" w:type="dxa"/>
          </w:tcPr>
          <w:p w14:paraId="3F6496E3" w14:textId="77777777" w:rsidR="00D544E1" w:rsidRPr="00D544E1" w:rsidRDefault="00D544E1" w:rsidP="00AE67F6">
            <w:pPr>
              <w:spacing w:after="0" w:line="240" w:lineRule="auto"/>
              <w:rPr>
                <w:lang w:val="fr-FR"/>
              </w:rPr>
            </w:pPr>
          </w:p>
        </w:tc>
        <w:tc>
          <w:tcPr>
            <w:tcW w:w="2030" w:type="dxa"/>
          </w:tcPr>
          <w:p w14:paraId="10FD6B38" w14:textId="77777777" w:rsidR="00D544E1" w:rsidRPr="00D544E1" w:rsidRDefault="00D544E1" w:rsidP="00AE67F6">
            <w:pPr>
              <w:spacing w:after="0" w:line="240" w:lineRule="auto"/>
              <w:rPr>
                <w:lang w:val="fr-FR"/>
              </w:rPr>
            </w:pPr>
          </w:p>
        </w:tc>
        <w:tc>
          <w:tcPr>
            <w:tcW w:w="2994" w:type="dxa"/>
          </w:tcPr>
          <w:p w14:paraId="6506F445" w14:textId="77777777" w:rsidR="00D544E1" w:rsidRPr="00D544E1" w:rsidRDefault="00D544E1" w:rsidP="00AE67F6">
            <w:pPr>
              <w:spacing w:after="0" w:line="240" w:lineRule="auto"/>
              <w:rPr>
                <w:lang w:val="fr-FR"/>
              </w:rPr>
            </w:pPr>
          </w:p>
        </w:tc>
      </w:tr>
      <w:tr w:rsidR="00D544E1" w:rsidRPr="00867FF5" w14:paraId="171776CF" w14:textId="77777777" w:rsidTr="00AE67F6">
        <w:trPr>
          <w:trHeight w:hRule="exact" w:val="680"/>
        </w:trPr>
        <w:tc>
          <w:tcPr>
            <w:tcW w:w="9418" w:type="dxa"/>
            <w:gridSpan w:val="3"/>
          </w:tcPr>
          <w:p w14:paraId="67D95179" w14:textId="77777777" w:rsidR="00D544E1" w:rsidRPr="00D544E1" w:rsidRDefault="00D544E1" w:rsidP="00AE67F6">
            <w:pPr>
              <w:spacing w:after="0" w:line="240" w:lineRule="auto"/>
              <w:rPr>
                <w:lang w:val="fr-FR"/>
              </w:rPr>
            </w:pPr>
          </w:p>
        </w:tc>
      </w:tr>
    </w:tbl>
    <w:p w14:paraId="21C31269" w14:textId="1154709A" w:rsidR="005C47A2" w:rsidRPr="005C47A2" w:rsidRDefault="005C47A2" w:rsidP="005C47A2">
      <w:pPr>
        <w:rPr>
          <w:lang w:val="en-US"/>
        </w:rPr>
      </w:pPr>
      <w:r w:rsidRPr="005C47A2">
        <w:rPr>
          <w:lang w:val="en-US"/>
        </w:rPr>
        <w:t xml:space="preserve">Dear Ms. </w:t>
      </w:r>
      <w:r w:rsidR="00896917">
        <w:rPr>
          <w:rFonts w:asciiTheme="minorHAnsi" w:hAnsiTheme="minorHAnsi"/>
          <w:lang w:val="en-US"/>
        </w:rPr>
        <w:t>Roswall</w:t>
      </w:r>
      <w:r w:rsidRPr="005C47A2">
        <w:rPr>
          <w:rFonts w:asciiTheme="minorHAnsi" w:hAnsiTheme="minorHAnsi"/>
          <w:lang w:val="en-US"/>
        </w:rPr>
        <w:t>,</w:t>
      </w:r>
    </w:p>
    <w:p w14:paraId="53A60E4D" w14:textId="79D64099" w:rsidR="005C47A2" w:rsidRPr="005C47A2" w:rsidRDefault="005C47A2" w:rsidP="005C47A2">
      <w:pPr>
        <w:rPr>
          <w:lang w:val="en-US"/>
        </w:rPr>
      </w:pPr>
      <w:r w:rsidRPr="005C47A2">
        <w:rPr>
          <w:lang w:val="en-US"/>
        </w:rPr>
        <w:t xml:space="preserve">As a </w:t>
      </w:r>
      <w:r>
        <w:rPr>
          <w:lang w:val="en-US"/>
        </w:rPr>
        <w:t xml:space="preserve">trade </w:t>
      </w:r>
      <w:r w:rsidRPr="005C47A2">
        <w:rPr>
          <w:lang w:val="en-US"/>
        </w:rPr>
        <w:t>business owner from Germany, I am writing to you today with an urgent request. The planned implementation of the Packaging and Packaging Waste Regulation (PPWR) as of August 12, 2026, threatens to impose significant additional burdens on us, which could jeopardize my company’s economic viability. There is an urgent need to amend the PPWR.</w:t>
      </w:r>
    </w:p>
    <w:p w14:paraId="247F76BE" w14:textId="77777777" w:rsidR="005C47A2" w:rsidRDefault="005C47A2" w:rsidP="005C47A2">
      <w:r w:rsidRPr="005C47A2">
        <w:rPr>
          <w:lang w:val="en-US"/>
        </w:rPr>
        <w:t xml:space="preserve">We are committed to sustainable business practices and recognize the need to reduce packaging waste. Creating a practical and predictable PPWR is essential to achieving and ensuring this goal. Nevertheless, future business operations and </w:t>
      </w:r>
      <w:proofErr w:type="gramStart"/>
      <w:r w:rsidRPr="005C47A2">
        <w:rPr>
          <w:lang w:val="en-US"/>
        </w:rPr>
        <w:t>regulation</w:t>
      </w:r>
      <w:proofErr w:type="gramEnd"/>
      <w:r w:rsidRPr="005C47A2">
        <w:rPr>
          <w:lang w:val="en-US"/>
        </w:rPr>
        <w:t xml:space="preserve"> must go hand in hand. </w:t>
      </w:r>
      <w:proofErr w:type="spellStart"/>
      <w:r>
        <w:t>We</w:t>
      </w:r>
      <w:proofErr w:type="spellEnd"/>
      <w:r>
        <w:t xml:space="preserve"> </w:t>
      </w:r>
      <w:proofErr w:type="spellStart"/>
      <w:r>
        <w:t>believe</w:t>
      </w:r>
      <w:proofErr w:type="spellEnd"/>
      <w:r>
        <w:t xml:space="preserve"> the PPWR </w:t>
      </w:r>
      <w:proofErr w:type="spellStart"/>
      <w:r>
        <w:t>jeopardizes</w:t>
      </w:r>
      <w:proofErr w:type="spellEnd"/>
      <w:r>
        <w:t xml:space="preserve"> </w:t>
      </w:r>
      <w:proofErr w:type="spellStart"/>
      <w:r>
        <w:t>this</w:t>
      </w:r>
      <w:proofErr w:type="spellEnd"/>
      <w:r>
        <w:t xml:space="preserve"> </w:t>
      </w:r>
      <w:proofErr w:type="spellStart"/>
      <w:r>
        <w:t>balance</w:t>
      </w:r>
      <w:proofErr w:type="spellEnd"/>
      <w:r>
        <w:t xml:space="preserve">. </w:t>
      </w:r>
    </w:p>
    <w:p w14:paraId="37556CB6" w14:textId="77777777" w:rsidR="005C47A2" w:rsidRPr="00867FF5" w:rsidRDefault="005C47A2" w:rsidP="005C47A2">
      <w:pPr>
        <w:rPr>
          <w:highlight w:val="yellow"/>
          <w:lang w:val="en-US"/>
        </w:rPr>
      </w:pPr>
      <w:r w:rsidRPr="00867FF5">
        <w:rPr>
          <w:highlight w:val="yellow"/>
          <w:lang w:val="en-US"/>
        </w:rPr>
        <w:t xml:space="preserve">The requirements for identifying the responsible producer </w:t>
      </w:r>
      <w:proofErr w:type="gramStart"/>
      <w:r w:rsidRPr="00867FF5">
        <w:rPr>
          <w:highlight w:val="yellow"/>
          <w:lang w:val="en-US"/>
        </w:rPr>
        <w:t>on</w:t>
      </w:r>
      <w:proofErr w:type="gramEnd"/>
      <w:r w:rsidRPr="00867FF5">
        <w:rPr>
          <w:highlight w:val="yellow"/>
          <w:lang w:val="en-US"/>
        </w:rPr>
        <w:t xml:space="preserve"> packaging are particularly problematic. For many retail companies and wholesalers engaged in drop shipping, this obligation could have a significant impact on existing business models. For example, many retailers source packaging or packaged products through supplier networks and sell them to their customers through their own online stores. If the contact information of the actual supplier or manufacturer is clearly displayed on the packaging, there is a risk that customers will use this information directly to establish business relationships while </w:t>
      </w:r>
      <w:proofErr w:type="gramStart"/>
      <w:r w:rsidRPr="00867FF5">
        <w:rPr>
          <w:highlight w:val="yellow"/>
          <w:lang w:val="en-US"/>
        </w:rPr>
        <w:t>bypassing</w:t>
      </w:r>
      <w:proofErr w:type="gramEnd"/>
      <w:r w:rsidRPr="00867FF5">
        <w:rPr>
          <w:highlight w:val="yellow"/>
          <w:lang w:val="en-US"/>
        </w:rPr>
        <w:t xml:space="preserve"> the wholesaler. This would significantly impair the economic function of the wholesale trade.</w:t>
      </w:r>
    </w:p>
    <w:p w14:paraId="63384986" w14:textId="77777777" w:rsidR="005C47A2" w:rsidRDefault="005C47A2" w:rsidP="005C47A2">
      <w:pPr>
        <w:rPr>
          <w:lang w:val="en-US"/>
        </w:rPr>
      </w:pPr>
      <w:r w:rsidRPr="00867FF5">
        <w:rPr>
          <w:highlight w:val="yellow"/>
          <w:lang w:val="en-US"/>
        </w:rPr>
        <w:t>Under the PPWR, a responsible producer must be identifiable. In many cases, therefore, the actual manufacturer or supplier would have to be named on the packaging. For retail companies whose business model is based on acting as an intermediary between the manufacturer and the end customer, however, this leads to significant competitive disadvantages. The regulation thus risks undermining established distribution structures without providing any additional benefit to consumers or the environment.</w:t>
      </w:r>
    </w:p>
    <w:p w14:paraId="072AE0C9" w14:textId="77777777" w:rsidR="005C47A2" w:rsidRPr="00867FF5" w:rsidRDefault="005C47A2" w:rsidP="005C47A2">
      <w:pPr>
        <w:rPr>
          <w:highlight w:val="yellow"/>
          <w:lang w:val="en-US"/>
        </w:rPr>
      </w:pPr>
      <w:r w:rsidRPr="00867FF5">
        <w:rPr>
          <w:highlight w:val="yellow"/>
          <w:lang w:val="en-US"/>
        </w:rPr>
        <w:lastRenderedPageBreak/>
        <w:t xml:space="preserve">While the so-called “producer fiction” under Article 21 of the PPWR does, in principle, allow a retailer to identify itself as the producer and assume the corresponding obligations—thereby avoiding the need to display the actual supplier’s contact information on the packaging—in practice, this results in a complete transfer of producer responsibility to the retailer. For small and medium-sized </w:t>
      </w:r>
      <w:proofErr w:type="gramStart"/>
      <w:r w:rsidRPr="00867FF5">
        <w:rPr>
          <w:highlight w:val="yellow"/>
          <w:lang w:val="en-US"/>
        </w:rPr>
        <w:t>enterprises in particular, this</w:t>
      </w:r>
      <w:proofErr w:type="gramEnd"/>
      <w:r w:rsidRPr="00867FF5">
        <w:rPr>
          <w:highlight w:val="yellow"/>
          <w:lang w:val="en-US"/>
        </w:rPr>
        <w:t xml:space="preserve"> represents an additional legal and administrative burden that is often disproportionate to the intended purpose.</w:t>
      </w:r>
    </w:p>
    <w:p w14:paraId="12FE3725" w14:textId="77777777" w:rsidR="005C47A2" w:rsidRPr="00867FF5" w:rsidRDefault="005C47A2" w:rsidP="005C47A2">
      <w:pPr>
        <w:rPr>
          <w:highlight w:val="yellow"/>
          <w:lang w:val="en-US"/>
        </w:rPr>
      </w:pPr>
      <w:r w:rsidRPr="00867FF5">
        <w:rPr>
          <w:highlight w:val="yellow"/>
          <w:lang w:val="en-US"/>
        </w:rPr>
        <w:t>We therefore propose the following adjustments:</w:t>
      </w:r>
    </w:p>
    <w:p w14:paraId="3D963BCA" w14:textId="77777777" w:rsidR="005C47A2" w:rsidRPr="00867FF5" w:rsidRDefault="005C47A2" w:rsidP="005C47A2">
      <w:pPr>
        <w:rPr>
          <w:highlight w:val="yellow"/>
          <w:lang w:val="en-US"/>
        </w:rPr>
      </w:pPr>
      <w:r w:rsidRPr="00867FF5">
        <w:rPr>
          <w:highlight w:val="yellow"/>
          <w:lang w:val="en-US"/>
        </w:rPr>
        <w:t>1. Clarification of labeling requirements: It should be expressly permitted to identify the economic operator responsible for compliance with the PPWR without being required to disclose the contact details of the actual manufacturer or upstream supplier.</w:t>
      </w:r>
    </w:p>
    <w:p w14:paraId="47809ACF" w14:textId="77777777" w:rsidR="005C47A2" w:rsidRPr="00867FF5" w:rsidRDefault="005C47A2" w:rsidP="005C47A2">
      <w:pPr>
        <w:rPr>
          <w:highlight w:val="yellow"/>
          <w:lang w:val="en-US"/>
        </w:rPr>
      </w:pPr>
      <w:r w:rsidRPr="00867FF5">
        <w:rPr>
          <w:highlight w:val="yellow"/>
          <w:lang w:val="en-US"/>
        </w:rPr>
        <w:t xml:space="preserve">2. Creation of a “Responsible Economic Operator” solution: </w:t>
      </w:r>
      <w:proofErr w:type="gramStart"/>
      <w:r w:rsidRPr="00867FF5">
        <w:rPr>
          <w:highlight w:val="yellow"/>
          <w:lang w:val="en-US"/>
        </w:rPr>
        <w:t>Similar to</w:t>
      </w:r>
      <w:proofErr w:type="gramEnd"/>
      <w:r w:rsidRPr="00867FF5">
        <w:rPr>
          <w:highlight w:val="yellow"/>
          <w:lang w:val="en-US"/>
        </w:rPr>
        <w:t xml:space="preserve"> other EU legal acts, it should be sufficient to designate a responsible economic operator who is accessible to authorities and fulfills the obligations under the PPWR.</w:t>
      </w:r>
    </w:p>
    <w:p w14:paraId="774E8B22" w14:textId="60DF9DFB" w:rsidR="005C47A2" w:rsidRPr="005C47A2" w:rsidRDefault="005C47A2" w:rsidP="005C47A2">
      <w:pPr>
        <w:rPr>
          <w:lang w:val="en-US"/>
        </w:rPr>
      </w:pPr>
      <w:r w:rsidRPr="00867FF5">
        <w:rPr>
          <w:highlight w:val="yellow"/>
          <w:lang w:val="en-US"/>
        </w:rPr>
        <w:t xml:space="preserve">3. Protection of legitimate business interests: The PPWR should explicitly recognize that retail and wholesale companies can protect their supplier relationships, </w:t>
      </w:r>
      <w:proofErr w:type="gramStart"/>
      <w:r w:rsidRPr="00867FF5">
        <w:rPr>
          <w:highlight w:val="yellow"/>
          <w:lang w:val="en-US"/>
        </w:rPr>
        <w:t>provided that</w:t>
      </w:r>
      <w:proofErr w:type="gramEnd"/>
      <w:r w:rsidRPr="00867FF5">
        <w:rPr>
          <w:highlight w:val="yellow"/>
          <w:lang w:val="en-US"/>
        </w:rPr>
        <w:t xml:space="preserve"> traceability and market surveillance remain ensured.</w:t>
      </w:r>
    </w:p>
    <w:p w14:paraId="5F18F474" w14:textId="77777777" w:rsidR="005C47A2" w:rsidRDefault="005C47A2" w:rsidP="005C47A2">
      <w:pPr>
        <w:rPr>
          <w:lang w:val="en-US"/>
        </w:rPr>
      </w:pPr>
      <w:r w:rsidRPr="005C47A2">
        <w:rPr>
          <w:lang w:val="en-US"/>
        </w:rPr>
        <w:t xml:space="preserve">The free internal market is a core promise of the European Union. A regulation that, in practice, can only be complied with by large corporations with their own compliance departments undermines this promise. Small and medium-sized </w:t>
      </w:r>
      <w:proofErr w:type="gramStart"/>
      <w:r w:rsidRPr="005C47A2">
        <w:rPr>
          <w:lang w:val="en-US"/>
        </w:rPr>
        <w:t>enterprises—</w:t>
      </w:r>
      <w:proofErr w:type="gramEnd"/>
      <w:r w:rsidRPr="005C47A2">
        <w:rPr>
          <w:lang w:val="en-US"/>
        </w:rPr>
        <w:t xml:space="preserve">the backbone of the European </w:t>
      </w:r>
      <w:proofErr w:type="gramStart"/>
      <w:r w:rsidRPr="005C47A2">
        <w:rPr>
          <w:lang w:val="en-US"/>
        </w:rPr>
        <w:t>economy—</w:t>
      </w:r>
      <w:proofErr w:type="gramEnd"/>
      <w:r w:rsidRPr="005C47A2">
        <w:rPr>
          <w:lang w:val="en-US"/>
        </w:rPr>
        <w:t>are not protected by this regulation but are instead excluded from cross-border trade.</w:t>
      </w:r>
      <w:r w:rsidRPr="005C47A2">
        <w:rPr>
          <w:lang w:val="en-US"/>
        </w:rPr>
        <w:br/>
      </w:r>
      <w:r w:rsidRPr="005C47A2">
        <w:rPr>
          <w:lang w:val="en-US"/>
        </w:rPr>
        <w:br/>
        <w:t>I urge you to address this issue and advocate for a practical solution.</w:t>
      </w:r>
    </w:p>
    <w:p w14:paraId="0ABD9D7A" w14:textId="77777777" w:rsidR="008D0CFF" w:rsidRDefault="008D0CFF" w:rsidP="005C47A2">
      <w:pPr>
        <w:rPr>
          <w:lang w:val="en-US"/>
        </w:rPr>
      </w:pPr>
    </w:p>
    <w:p w14:paraId="20A8330E" w14:textId="7F7D027F" w:rsidR="008D0CFF" w:rsidRPr="005C47A2" w:rsidRDefault="008D0CFF" w:rsidP="005C47A2">
      <w:pPr>
        <w:rPr>
          <w:lang w:val="en-US"/>
        </w:rPr>
      </w:pPr>
      <w:r>
        <w:rPr>
          <w:lang w:val="en-US"/>
        </w:rPr>
        <w:t>Best regards</w:t>
      </w:r>
    </w:p>
    <w:p w14:paraId="7DD13CDD" w14:textId="77777777" w:rsidR="005C47A2" w:rsidRPr="005C47A2" w:rsidRDefault="005C47A2" w:rsidP="005C47A2">
      <w:pPr>
        <w:rPr>
          <w:lang w:val="en-US"/>
        </w:rPr>
      </w:pPr>
    </w:p>
    <w:p w14:paraId="54567B99" w14:textId="77777777" w:rsidR="005C47A2" w:rsidRPr="005C47A2" w:rsidRDefault="005C47A2">
      <w:pPr>
        <w:rPr>
          <w:lang w:val="en-US"/>
        </w:rPr>
      </w:pPr>
    </w:p>
    <w:sectPr w:rsidR="005C47A2" w:rsidRPr="005C47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gfa Rotis Sans Serif Ex Bold">
    <w:panose1 w:val="00000800000000000000"/>
    <w:charset w:val="00"/>
    <w:family w:val="auto"/>
    <w:pitch w:val="variable"/>
    <w:sig w:usb0="00000003" w:usb1="00000000" w:usb2="00000000" w:usb3="00000000" w:csb0="00000001" w:csb1="00000000"/>
  </w:font>
  <w:font w:name="Agfa Rotis Sans Serif">
    <w:panose1 w:val="00000400000000000000"/>
    <w:charset w:val="00"/>
    <w:family w:val="auto"/>
    <w:pitch w:val="variable"/>
    <w:sig w:usb0="00000003" w:usb1="00000000" w:usb2="00000000" w:usb3="00000000" w:csb0="00000001" w:csb1="00000000"/>
  </w:font>
  <w:font w:name="Agfa Rotis Sans Serif Light">
    <w:panose1 w:val="000003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7A2"/>
    <w:rsid w:val="003E1D6E"/>
    <w:rsid w:val="005C47A2"/>
    <w:rsid w:val="00867FF5"/>
    <w:rsid w:val="00896917"/>
    <w:rsid w:val="008D0CFF"/>
    <w:rsid w:val="009F5A0D"/>
    <w:rsid w:val="00D544E1"/>
    <w:rsid w:val="00E003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929B"/>
  <w15:chartTrackingRefBased/>
  <w15:docId w15:val="{7F37A3EA-A234-49F2-9C2D-37EA35CA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47A2"/>
    <w:pPr>
      <w:spacing w:after="200" w:line="276" w:lineRule="auto"/>
    </w:pPr>
    <w:rPr>
      <w:rFonts w:ascii="Calibri" w:eastAsia="Calibri" w:hAnsi="Calibri" w:cstheme="minorHAnsi"/>
      <w:kern w:val="0"/>
      <w:szCs w:val="22"/>
      <w:lang w:eastAsia="de-DE"/>
      <w14:ligatures w14:val="none"/>
    </w:rPr>
  </w:style>
  <w:style w:type="paragraph" w:styleId="berschrift1">
    <w:name w:val="heading 1"/>
    <w:basedOn w:val="Standard"/>
    <w:next w:val="Standard"/>
    <w:link w:val="berschrift1Zchn"/>
    <w:uiPriority w:val="9"/>
    <w:qFormat/>
    <w:rsid w:val="005C4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C4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C47A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C47A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C47A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C47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C47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C47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C47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47A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C47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C47A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C47A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C47A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C47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C47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C47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C47A2"/>
    <w:rPr>
      <w:rFonts w:eastAsiaTheme="majorEastAsia" w:cstheme="majorBidi"/>
      <w:color w:val="272727" w:themeColor="text1" w:themeTint="D8"/>
    </w:rPr>
  </w:style>
  <w:style w:type="paragraph" w:styleId="Titel">
    <w:name w:val="Title"/>
    <w:basedOn w:val="Standard"/>
    <w:next w:val="Standard"/>
    <w:link w:val="TitelZchn"/>
    <w:uiPriority w:val="10"/>
    <w:qFormat/>
    <w:rsid w:val="005C4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47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C47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C47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C47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C47A2"/>
    <w:rPr>
      <w:i/>
      <w:iCs/>
      <w:color w:val="404040" w:themeColor="text1" w:themeTint="BF"/>
    </w:rPr>
  </w:style>
  <w:style w:type="paragraph" w:styleId="Listenabsatz">
    <w:name w:val="List Paragraph"/>
    <w:basedOn w:val="Standard"/>
    <w:uiPriority w:val="34"/>
    <w:qFormat/>
    <w:rsid w:val="005C47A2"/>
    <w:pPr>
      <w:ind w:left="720"/>
      <w:contextualSpacing/>
    </w:pPr>
  </w:style>
  <w:style w:type="character" w:styleId="IntensiveHervorhebung">
    <w:name w:val="Intense Emphasis"/>
    <w:basedOn w:val="Absatz-Standardschriftart"/>
    <w:uiPriority w:val="21"/>
    <w:qFormat/>
    <w:rsid w:val="005C47A2"/>
    <w:rPr>
      <w:i/>
      <w:iCs/>
      <w:color w:val="0F4761" w:themeColor="accent1" w:themeShade="BF"/>
    </w:rPr>
  </w:style>
  <w:style w:type="paragraph" w:styleId="IntensivesZitat">
    <w:name w:val="Intense Quote"/>
    <w:basedOn w:val="Standard"/>
    <w:next w:val="Standard"/>
    <w:link w:val="IntensivesZitatZchn"/>
    <w:uiPriority w:val="30"/>
    <w:qFormat/>
    <w:rsid w:val="005C4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C47A2"/>
    <w:rPr>
      <w:i/>
      <w:iCs/>
      <w:color w:val="0F4761" w:themeColor="accent1" w:themeShade="BF"/>
    </w:rPr>
  </w:style>
  <w:style w:type="character" w:styleId="IntensiverVerweis">
    <w:name w:val="Intense Reference"/>
    <w:basedOn w:val="Absatz-Standardschriftart"/>
    <w:uiPriority w:val="32"/>
    <w:qFormat/>
    <w:rsid w:val="005C47A2"/>
    <w:rPr>
      <w:b/>
      <w:bCs/>
      <w:smallCaps/>
      <w:color w:val="0F4761" w:themeColor="accent1" w:themeShade="BF"/>
      <w:spacing w:val="5"/>
    </w:rPr>
  </w:style>
  <w:style w:type="character" w:styleId="Hyperlink">
    <w:name w:val="Hyperlink"/>
    <w:basedOn w:val="Absatz-Standardschriftart"/>
    <w:uiPriority w:val="99"/>
    <w:unhideWhenUsed/>
    <w:rsid w:val="005C47A2"/>
    <w:rPr>
      <w:color w:val="467886" w:themeColor="hyperlink"/>
      <w:u w:val="single"/>
    </w:rPr>
  </w:style>
  <w:style w:type="character" w:styleId="NichtaufgelsteErwhnung">
    <w:name w:val="Unresolved Mention"/>
    <w:basedOn w:val="Absatz-Standardschriftart"/>
    <w:uiPriority w:val="99"/>
    <w:semiHidden/>
    <w:unhideWhenUsed/>
    <w:rsid w:val="005C47A2"/>
    <w:rPr>
      <w:color w:val="605E5C"/>
      <w:shd w:val="clear" w:color="auto" w:fill="E1DFDD"/>
    </w:rPr>
  </w:style>
  <w:style w:type="paragraph" w:customStyle="1" w:styleId="Korrespondenzblock">
    <w:name w:val="Korrespondenzblock"/>
    <w:basedOn w:val="Standard"/>
    <w:rsid w:val="00D544E1"/>
    <w:pPr>
      <w:spacing w:after="0" w:line="200" w:lineRule="atLeast"/>
    </w:pPr>
    <w:rPr>
      <w:rFonts w:eastAsia="Times New Roman"/>
      <w:sz w:val="18"/>
    </w:rPr>
  </w:style>
  <w:style w:type="paragraph" w:customStyle="1" w:styleId="Adressfeld">
    <w:name w:val="Adressfeld"/>
    <w:basedOn w:val="Standard"/>
    <w:rsid w:val="00D544E1"/>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6FB6F-F8BC-4E16-A59A-89663B1043CD}">
  <ds:schemaRefs>
    <ds:schemaRef ds:uri="http://schemas.microsoft.com/sharepoint/v3/contenttype/forms"/>
  </ds:schemaRefs>
</ds:datastoreItem>
</file>

<file path=customXml/itemProps2.xml><?xml version="1.0" encoding="utf-8"?>
<ds:datastoreItem xmlns:ds="http://schemas.openxmlformats.org/officeDocument/2006/customXml" ds:itemID="{F72418B8-F7E9-44DD-A49A-39C8513AACF5}">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33DFFF39-D3E3-48FB-A8C9-F6B1C72D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 Christoph</dc:creator>
  <cp:keywords/>
  <dc:description/>
  <cp:lastModifiedBy>Petri, Christoph</cp:lastModifiedBy>
  <cp:revision>4</cp:revision>
  <dcterms:created xsi:type="dcterms:W3CDTF">2026-08-12T11:24:00Z</dcterms:created>
  <dcterms:modified xsi:type="dcterms:W3CDTF">2026-08-21T11:50:00Z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0x01010040B68CEA0356654690A6FAFBF743B82D</vt:lpwstr>
  </property>
  <property fmtid="{D5CDD505-2E9C-101B-9397-08002B2CF9AE}" pid="3" name="MediaServiceImageTags">
    <vt:lpwstr/>
  </property>
</Properties>
</file>