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8F3F" w14:textId="35AFDDCE" w:rsidR="00ED2A16" w:rsidRPr="00F47E2A" w:rsidRDefault="0046129F" w:rsidP="00E708E2">
      <w:pPr>
        <w:pStyle w:val="berschrift1"/>
        <w:rPr>
          <w:rFonts w:hint="eastAsia"/>
        </w:rPr>
      </w:pPr>
      <w:r w:rsidRPr="0046129F">
        <w:t>Diskussionspapier</w:t>
      </w:r>
      <w:r>
        <w:t xml:space="preserve"> zum EU</w:t>
      </w:r>
      <w:r w:rsidR="001136CC" w:rsidRPr="0046129F">
        <w:t xml:space="preserve"> Circular Economy Act</w:t>
      </w:r>
      <w:r w:rsidR="001136CC" w:rsidRPr="00F47E2A">
        <w:t xml:space="preserve"> </w:t>
      </w:r>
    </w:p>
    <w:p w14:paraId="5D4E6AB6" w14:textId="485B7CEB" w:rsidR="008F3427" w:rsidRDefault="00814FFF">
      <w:r>
        <w:t xml:space="preserve">In ihrem im Januar </w:t>
      </w:r>
      <w:r w:rsidR="00297F30">
        <w:t xml:space="preserve">2025 </w:t>
      </w:r>
      <w:r>
        <w:t>angenommenen</w:t>
      </w:r>
      <w:r w:rsidR="00100F83">
        <w:t xml:space="preserve"> Wettbewerbskompass</w:t>
      </w:r>
      <w:r>
        <w:rPr>
          <w:rStyle w:val="Funotenzeichen"/>
        </w:rPr>
        <w:footnoteReference w:id="1"/>
      </w:r>
      <w:r w:rsidR="00100F83">
        <w:t xml:space="preserve"> </w:t>
      </w:r>
      <w:r>
        <w:t xml:space="preserve">kündigt die EU-Kommission </w:t>
      </w:r>
      <w:r w:rsidR="00100F83">
        <w:t xml:space="preserve">einen </w:t>
      </w:r>
      <w:r w:rsidR="00100F83" w:rsidRPr="00100F83">
        <w:t>Vorschlag f</w:t>
      </w:r>
      <w:r w:rsidR="00100F83" w:rsidRPr="00100F83">
        <w:rPr>
          <w:rFonts w:hint="cs"/>
        </w:rPr>
        <w:t>ü</w:t>
      </w:r>
      <w:r w:rsidR="00100F83" w:rsidRPr="00100F83">
        <w:t xml:space="preserve">r ein Gesetz zur Kreislaufwirtschaft </w:t>
      </w:r>
      <w:r w:rsidR="00297F30">
        <w:t xml:space="preserve">(Circular Economy Act) </w:t>
      </w:r>
      <w:r>
        <w:t xml:space="preserve">auf EU-Ebene </w:t>
      </w:r>
      <w:r w:rsidR="00100F83">
        <w:t xml:space="preserve">für das vierte Quartal 2026 </w:t>
      </w:r>
      <w:r>
        <w:t>an</w:t>
      </w:r>
      <w:r w:rsidR="00100F83">
        <w:t>.</w:t>
      </w:r>
      <w:r w:rsidR="008F3427">
        <w:t xml:space="preserve"> Dieses </w:t>
      </w:r>
      <w:r>
        <w:t xml:space="preserve">Gesetz </w:t>
      </w:r>
      <w:r w:rsidR="008F3427" w:rsidRPr="00100F83">
        <w:t xml:space="preserve">soll </w:t>
      </w:r>
      <w:r>
        <w:t xml:space="preserve">laut EU-Kommission </w:t>
      </w:r>
      <w:r w:rsidR="0067216E">
        <w:t>den</w:t>
      </w:r>
      <w:r w:rsidR="0058149E">
        <w:t xml:space="preserve"> freien Verkehr von</w:t>
      </w:r>
      <w:r w:rsidR="0067216E" w:rsidRPr="0067216E">
        <w:t xml:space="preserve"> kreislaufwirtschaftlichen Produkten, Sekund</w:t>
      </w:r>
      <w:r w:rsidR="0067216E" w:rsidRPr="0067216E">
        <w:rPr>
          <w:rFonts w:hint="cs"/>
        </w:rPr>
        <w:t>ä</w:t>
      </w:r>
      <w:r w:rsidR="0067216E" w:rsidRPr="0067216E">
        <w:t>rrohstoffen und Abf</w:t>
      </w:r>
      <w:r w:rsidR="0067216E" w:rsidRPr="0067216E">
        <w:rPr>
          <w:rFonts w:hint="cs"/>
        </w:rPr>
        <w:t>ä</w:t>
      </w:r>
      <w:r w:rsidR="0067216E" w:rsidRPr="0067216E">
        <w:t>llen erleichter</w:t>
      </w:r>
      <w:r w:rsidR="0058149E">
        <w:t xml:space="preserve">n, </w:t>
      </w:r>
      <w:r w:rsidR="0067216E" w:rsidRPr="0067216E">
        <w:t>das Angebot an hochwertigen Recyclingmaterialien erh</w:t>
      </w:r>
      <w:r w:rsidR="0067216E" w:rsidRPr="0067216E">
        <w:rPr>
          <w:rFonts w:hint="cs"/>
        </w:rPr>
        <w:t>ö</w:t>
      </w:r>
      <w:r w:rsidR="0067216E" w:rsidRPr="0067216E">
        <w:t>hen und die Nachfrage nach diesen Materialien in der EU ankurbeln.</w:t>
      </w:r>
    </w:p>
    <w:p w14:paraId="198E08C4" w14:textId="576B02E7" w:rsidR="00910C8E" w:rsidRPr="00DF4578" w:rsidRDefault="008F3427">
      <w:pPr>
        <w:rPr>
          <w:u w:val="single"/>
        </w:rPr>
      </w:pPr>
      <w:r>
        <w:t xml:space="preserve">Derzeit führt </w:t>
      </w:r>
      <w:r w:rsidR="00010C71">
        <w:t xml:space="preserve">die EU-Kommission </w:t>
      </w:r>
      <w:r w:rsidR="00990F54">
        <w:t xml:space="preserve">eine </w:t>
      </w:r>
      <w:hyperlink r:id="rId11" w:history="1">
        <w:r w:rsidR="00990F54" w:rsidRPr="00C214DE">
          <w:rPr>
            <w:rStyle w:val="Hyperlink"/>
          </w:rPr>
          <w:t>öffentliche Konsultierung</w:t>
        </w:r>
      </w:hyperlink>
      <w:r w:rsidR="00990F54">
        <w:t xml:space="preserve"> durch, um </w:t>
      </w:r>
      <w:r w:rsidR="0098380F">
        <w:t>Feedback von Stakeholdern zum zukünftigen EU-Gesetz zu Kreislaufwirtschaft einzuholen.</w:t>
      </w:r>
      <w:r w:rsidR="002A60A6">
        <w:t xml:space="preserve"> </w:t>
      </w:r>
      <w:r w:rsidR="002A60A6" w:rsidRPr="00DF4578">
        <w:t xml:space="preserve">Die Konsultierung besteht aus einem </w:t>
      </w:r>
      <w:r w:rsidR="00DF4578" w:rsidRPr="00DF4578">
        <w:t xml:space="preserve">umfangreichen </w:t>
      </w:r>
      <w:r w:rsidR="002A60A6" w:rsidRPr="00DF4578">
        <w:t>Fragebogen.</w:t>
      </w:r>
      <w:r w:rsidR="0098380F" w:rsidRPr="00DF4578">
        <w:t xml:space="preserve"> </w:t>
      </w:r>
      <w:r w:rsidR="006E1C83" w:rsidRPr="00DF4578">
        <w:t>Unt</w:t>
      </w:r>
      <w:r w:rsidR="006E1C83">
        <w:t xml:space="preserve">ernehmen und andere Stakeholder können sich noch bis 6. November an der Konsultierung </w:t>
      </w:r>
      <w:r w:rsidR="00DF4578">
        <w:t xml:space="preserve">der EU-Kommission </w:t>
      </w:r>
      <w:r w:rsidR="006E1C83">
        <w:t xml:space="preserve">beteiligen. </w:t>
      </w:r>
      <w:r w:rsidR="005E21D8" w:rsidRPr="00DF4578">
        <w:rPr>
          <w:u w:val="single"/>
        </w:rPr>
        <w:t xml:space="preserve">Falls sich </w:t>
      </w:r>
      <w:r w:rsidR="005E21D8" w:rsidRPr="001323D2">
        <w:rPr>
          <w:u w:val="single"/>
        </w:rPr>
        <w:t xml:space="preserve">Unternehmen oder </w:t>
      </w:r>
      <w:r w:rsidR="00D15E08" w:rsidRPr="001323D2">
        <w:rPr>
          <w:u w:val="single"/>
        </w:rPr>
        <w:t>IHKs an der öffentlichen Konsultierung</w:t>
      </w:r>
      <w:r w:rsidR="00DF4578" w:rsidRPr="001323D2">
        <w:rPr>
          <w:u w:val="single"/>
        </w:rPr>
        <w:t xml:space="preserve"> der EU-Kommission</w:t>
      </w:r>
      <w:r w:rsidR="00D15E08" w:rsidRPr="001323D2">
        <w:rPr>
          <w:u w:val="single"/>
        </w:rPr>
        <w:t xml:space="preserve"> beteiligen, </w:t>
      </w:r>
      <w:r w:rsidR="008670BE" w:rsidRPr="001323D2">
        <w:rPr>
          <w:u w:val="single"/>
        </w:rPr>
        <w:t xml:space="preserve">würden wir uns sehr freuen, wenn die Beiträge </w:t>
      </w:r>
      <w:r w:rsidR="00DF4578" w:rsidRPr="001323D2">
        <w:rPr>
          <w:u w:val="single"/>
        </w:rPr>
        <w:t>mit uns geteilt</w:t>
      </w:r>
      <w:r w:rsidR="008670BE" w:rsidRPr="001323D2">
        <w:rPr>
          <w:u w:val="single"/>
        </w:rPr>
        <w:t xml:space="preserve"> werden.</w:t>
      </w:r>
      <w:r w:rsidR="008670BE" w:rsidRPr="00DF4578">
        <w:rPr>
          <w:u w:val="single"/>
        </w:rPr>
        <w:t xml:space="preserve"> </w:t>
      </w:r>
    </w:p>
    <w:p w14:paraId="5B5DEB00" w14:textId="31814EB0" w:rsidR="00212CE3" w:rsidRDefault="00212CE3">
      <w:r>
        <w:t>Diese</w:t>
      </w:r>
      <w:r w:rsidR="00F031DE">
        <w:t xml:space="preserve">s Diskussionspapier </w:t>
      </w:r>
      <w:r w:rsidR="006F1885">
        <w:t xml:space="preserve">dient dazu, die DIHK Stellungnahme zum Circular Economy Act zu erarbeiten. Es </w:t>
      </w:r>
      <w:r w:rsidR="001323D2">
        <w:t xml:space="preserve">basiert zum Teil auf Fragen aus dem </w:t>
      </w:r>
      <w:r w:rsidR="0007079D">
        <w:t xml:space="preserve">Fragebogen der </w:t>
      </w:r>
      <w:r w:rsidR="001323D2">
        <w:t>EU-</w:t>
      </w:r>
      <w:r w:rsidR="0007079D">
        <w:t>Kommission</w:t>
      </w:r>
      <w:r w:rsidR="001323D2">
        <w:t>, beinhaltet aber auch</w:t>
      </w:r>
      <w:r w:rsidR="0007079D">
        <w:t xml:space="preserve"> offene Fragen</w:t>
      </w:r>
      <w:r w:rsidR="001323D2">
        <w:t>. Das Papier deckt unterschiedliche T</w:t>
      </w:r>
      <w:r w:rsidR="0007079D">
        <w:t>hemenbereiche</w:t>
      </w:r>
      <w:r w:rsidR="00020AFF">
        <w:t xml:space="preserve"> der Kreislaufwirtschaft </w:t>
      </w:r>
      <w:r w:rsidR="001323D2">
        <w:t xml:space="preserve">ab, </w:t>
      </w:r>
      <w:r w:rsidR="00DF4578">
        <w:t xml:space="preserve">unter anderem </w:t>
      </w:r>
      <w:r w:rsidR="00020AFF">
        <w:t>Hindernisse</w:t>
      </w:r>
      <w:r w:rsidR="001323D2">
        <w:t xml:space="preserve"> </w:t>
      </w:r>
      <w:r w:rsidR="00020AFF">
        <w:t xml:space="preserve">für die Kreislaufwirtschaft, Maßnahmen zur Ankurbelung von Nachfrage und Angebot an </w:t>
      </w:r>
      <w:r w:rsidR="00020AFF" w:rsidRPr="00DF4578">
        <w:t xml:space="preserve">Sekundärrohstoffen, </w:t>
      </w:r>
      <w:r w:rsidR="001241BC">
        <w:t xml:space="preserve">Abfallende-Kriterien, Erweiterte Herstellerverantwortung, </w:t>
      </w:r>
      <w:r w:rsidR="00020AFF" w:rsidRPr="00DF4578">
        <w:t>WEEE, etc</w:t>
      </w:r>
      <w:r w:rsidR="00020AFF">
        <w:t xml:space="preserve">. </w:t>
      </w:r>
      <w:r w:rsidR="00A73E13" w:rsidRPr="00B26851">
        <w:rPr>
          <w:u w:val="single"/>
        </w:rPr>
        <w:t>Falls möglich, t</w:t>
      </w:r>
      <w:r w:rsidR="00F7669C" w:rsidRPr="00B26851">
        <w:rPr>
          <w:u w:val="single"/>
        </w:rPr>
        <w:t>eilen Sie uns gerne auch konkrete Beispiele mit, wie Unternehmen von den derzeit bestehenden Regelungen betroffen sind.</w:t>
      </w:r>
      <w:r w:rsidR="00F7669C">
        <w:t xml:space="preserve"> </w:t>
      </w:r>
    </w:p>
    <w:p w14:paraId="72E93E2E" w14:textId="3A83BE45" w:rsidR="0007079D" w:rsidRPr="00223C09" w:rsidRDefault="0007079D">
      <w:pPr>
        <w:rPr>
          <w:b/>
          <w:bCs/>
          <w:i/>
          <w:iCs/>
        </w:rPr>
      </w:pPr>
      <w:r w:rsidRPr="00223C09">
        <w:rPr>
          <w:b/>
          <w:bCs/>
          <w:i/>
          <w:iCs/>
        </w:rPr>
        <w:t xml:space="preserve">Wir bitten Sie, den </w:t>
      </w:r>
      <w:r w:rsidR="00010C43">
        <w:rPr>
          <w:b/>
          <w:bCs/>
          <w:i/>
          <w:iCs/>
        </w:rPr>
        <w:t xml:space="preserve">ausgefüllten </w:t>
      </w:r>
      <w:r w:rsidRPr="00223C09">
        <w:rPr>
          <w:b/>
          <w:bCs/>
          <w:i/>
          <w:iCs/>
        </w:rPr>
        <w:t xml:space="preserve">Fragebogen bis </w:t>
      </w:r>
      <w:r w:rsidR="00C1670E">
        <w:rPr>
          <w:b/>
          <w:bCs/>
          <w:i/>
          <w:iCs/>
        </w:rPr>
        <w:t>2</w:t>
      </w:r>
      <w:r w:rsidR="00223C09" w:rsidRPr="00223C09">
        <w:rPr>
          <w:b/>
          <w:bCs/>
          <w:i/>
          <w:iCs/>
        </w:rPr>
        <w:t xml:space="preserve">. Oktober an </w:t>
      </w:r>
      <w:hyperlink r:id="rId12" w:history="1">
        <w:r w:rsidR="00223C09" w:rsidRPr="00223C09">
          <w:rPr>
            <w:rStyle w:val="Hyperlink"/>
            <w:b/>
            <w:bCs/>
            <w:i/>
            <w:iCs/>
          </w:rPr>
          <w:t>riedler.kathrin@dihk.de</w:t>
        </w:r>
      </w:hyperlink>
      <w:r w:rsidR="00223C09" w:rsidRPr="00223C09">
        <w:rPr>
          <w:b/>
          <w:bCs/>
          <w:i/>
          <w:iCs/>
        </w:rPr>
        <w:t xml:space="preserve"> zu schicken.</w:t>
      </w:r>
      <w:r w:rsidR="00742945">
        <w:rPr>
          <w:b/>
          <w:bCs/>
          <w:i/>
          <w:iCs/>
        </w:rPr>
        <w:t xml:space="preserve"> </w:t>
      </w:r>
    </w:p>
    <w:p w14:paraId="38D2A45D" w14:textId="77777777" w:rsidR="003E642A" w:rsidRDefault="003E642A" w:rsidP="005A4982">
      <w:pPr>
        <w:rPr>
          <w:b/>
          <w:bCs/>
          <w:u w:val="single"/>
        </w:rPr>
      </w:pPr>
    </w:p>
    <w:p w14:paraId="518B0A04" w14:textId="200402FF" w:rsidR="004249FD" w:rsidRPr="00F47E2A" w:rsidRDefault="00910C8E" w:rsidP="00E708E2">
      <w:pPr>
        <w:pStyle w:val="berschrift2"/>
        <w:rPr>
          <w:rFonts w:hint="eastAsia"/>
        </w:rPr>
      </w:pPr>
      <w:r w:rsidRPr="00F47E2A">
        <w:t xml:space="preserve">Hindernisse für die Kreislaufwirtschaft </w:t>
      </w:r>
    </w:p>
    <w:p w14:paraId="09CB6085" w14:textId="532C6062" w:rsidR="00801DE3" w:rsidRPr="00D04B35" w:rsidRDefault="00801DE3" w:rsidP="007D02BB">
      <w:pPr>
        <w:pStyle w:val="Listenabsatz"/>
        <w:numPr>
          <w:ilvl w:val="0"/>
          <w:numId w:val="3"/>
        </w:numPr>
        <w:rPr>
          <w:b/>
          <w:bCs/>
        </w:rPr>
      </w:pPr>
      <w:r w:rsidRPr="00D04B35">
        <w:rPr>
          <w:b/>
          <w:bCs/>
        </w:rPr>
        <w:t xml:space="preserve">Welche der folgenden Hemmnisse </w:t>
      </w:r>
      <w:r w:rsidR="00056404" w:rsidRPr="00D04B35">
        <w:rPr>
          <w:b/>
          <w:bCs/>
        </w:rPr>
        <w:t>f</w:t>
      </w:r>
      <w:r w:rsidR="00056404" w:rsidRPr="00D04B35">
        <w:rPr>
          <w:rFonts w:hint="cs"/>
          <w:b/>
          <w:bCs/>
        </w:rPr>
        <w:t>ü</w:t>
      </w:r>
      <w:r w:rsidR="00056404" w:rsidRPr="00D04B35">
        <w:rPr>
          <w:b/>
          <w:bCs/>
        </w:rPr>
        <w:t>r den EU-Binnenmarkt f</w:t>
      </w:r>
      <w:r w:rsidR="00056404" w:rsidRPr="00D04B35">
        <w:rPr>
          <w:rFonts w:hint="cs"/>
          <w:b/>
          <w:bCs/>
        </w:rPr>
        <w:t>ü</w:t>
      </w:r>
      <w:r w:rsidR="00056404" w:rsidRPr="00D04B35">
        <w:rPr>
          <w:b/>
          <w:bCs/>
        </w:rPr>
        <w:t>r Sekund</w:t>
      </w:r>
      <w:r w:rsidR="00056404" w:rsidRPr="00D04B35">
        <w:rPr>
          <w:rFonts w:hint="cs"/>
          <w:b/>
          <w:bCs/>
        </w:rPr>
        <w:t>ä</w:t>
      </w:r>
      <w:r w:rsidR="00056404" w:rsidRPr="00D04B35">
        <w:rPr>
          <w:b/>
          <w:bCs/>
        </w:rPr>
        <w:t>rrohstoffe treffen Unternehmen am stärksten?</w:t>
      </w:r>
      <w:r w:rsidR="00316FA3">
        <w:rPr>
          <w:b/>
          <w:bCs/>
        </w:rPr>
        <w:t xml:space="preserve"> Markieren Sie die wichtigsten</w:t>
      </w:r>
      <w:r w:rsidR="2DB283D4" w:rsidRPr="47CF6E2D">
        <w:rPr>
          <w:b/>
          <w:bCs/>
        </w:rPr>
        <w:t xml:space="preserve"> drei bis fünf</w:t>
      </w:r>
      <w:r w:rsidR="00316FA3">
        <w:rPr>
          <w:b/>
          <w:bCs/>
        </w:rPr>
        <w:t xml:space="preserve">. </w:t>
      </w:r>
    </w:p>
    <w:p w14:paraId="0B3818F7" w14:textId="570E6CF4" w:rsidR="00A308DE" w:rsidRPr="00C57545" w:rsidRDefault="00BB3253" w:rsidP="00C57545">
      <w:pPr>
        <w:pStyle w:val="Listenabsatz"/>
        <w:numPr>
          <w:ilvl w:val="0"/>
          <w:numId w:val="6"/>
        </w:numPr>
      </w:pPr>
      <w:r w:rsidRPr="00C57545">
        <w:t>Die Preise f</w:t>
      </w:r>
      <w:r w:rsidRPr="00C57545">
        <w:rPr>
          <w:rFonts w:hint="cs"/>
        </w:rPr>
        <w:t>ü</w:t>
      </w:r>
      <w:r w:rsidRPr="00C57545">
        <w:t>r Sekund</w:t>
      </w:r>
      <w:r w:rsidRPr="00C57545">
        <w:rPr>
          <w:rFonts w:hint="cs"/>
        </w:rPr>
        <w:t>ä</w:t>
      </w:r>
      <w:r w:rsidRPr="00C57545">
        <w:t>rrohstoffe sind im Allgemeinen h</w:t>
      </w:r>
      <w:r w:rsidRPr="00C57545">
        <w:rPr>
          <w:rFonts w:hint="cs"/>
        </w:rPr>
        <w:t>ö</w:t>
      </w:r>
      <w:r w:rsidRPr="00C57545">
        <w:t>her als die Preise f</w:t>
      </w:r>
      <w:r w:rsidRPr="00C57545">
        <w:rPr>
          <w:rFonts w:hint="cs"/>
        </w:rPr>
        <w:t>ü</w:t>
      </w:r>
      <w:r w:rsidRPr="00C57545">
        <w:t>r Prim</w:t>
      </w:r>
      <w:r w:rsidRPr="00C57545">
        <w:rPr>
          <w:rFonts w:hint="cs"/>
        </w:rPr>
        <w:t>ä</w:t>
      </w:r>
      <w:r w:rsidRPr="00C57545">
        <w:t>rrohstoffe</w:t>
      </w:r>
    </w:p>
    <w:p w14:paraId="65F76D31" w14:textId="4917CC50" w:rsidR="00BB3253" w:rsidRPr="00C57545" w:rsidRDefault="00BB3253" w:rsidP="00C57545">
      <w:pPr>
        <w:pStyle w:val="Listenabsatz"/>
        <w:numPr>
          <w:ilvl w:val="0"/>
          <w:numId w:val="6"/>
        </w:numPr>
      </w:pPr>
      <w:r w:rsidRPr="00C57545">
        <w:t>Die Qualität der Sekundärrohstoffe ist im Allgemeinen geringer als die der Primärrohstoffe.</w:t>
      </w:r>
    </w:p>
    <w:p w14:paraId="7487CD31" w14:textId="3D517EBA" w:rsidR="00BB3253" w:rsidRPr="00C57545" w:rsidRDefault="00BB3253" w:rsidP="00C57545">
      <w:pPr>
        <w:pStyle w:val="Listenabsatz"/>
        <w:numPr>
          <w:ilvl w:val="0"/>
          <w:numId w:val="6"/>
        </w:numPr>
      </w:pPr>
      <w:r w:rsidRPr="00C57545">
        <w:t>Das Fehlen einer standardisierten Zertifizierung für Sekundärrohstoffe beeinträchtigt deren Marktfähigkeit</w:t>
      </w:r>
    </w:p>
    <w:p w14:paraId="507F4693" w14:textId="04A73C5F" w:rsidR="00BB3253" w:rsidRPr="00C57545" w:rsidRDefault="00BB3253" w:rsidP="00C57545">
      <w:pPr>
        <w:pStyle w:val="Listenabsatz"/>
        <w:numPr>
          <w:ilvl w:val="0"/>
          <w:numId w:val="6"/>
        </w:numPr>
      </w:pPr>
      <w:r w:rsidRPr="00C57545">
        <w:t>Es gibt zu viele regulatorische Hindernisse für einen gut funktionierenden Binnenmarkt für Sekundärrohstoffe</w:t>
      </w:r>
    </w:p>
    <w:p w14:paraId="5FAAA07B" w14:textId="3ECEACC6" w:rsidR="00C36A7E" w:rsidRPr="00C57545" w:rsidRDefault="00C36A7E" w:rsidP="00C57545">
      <w:pPr>
        <w:pStyle w:val="Listenabsatz"/>
        <w:numPr>
          <w:ilvl w:val="0"/>
          <w:numId w:val="6"/>
        </w:numPr>
      </w:pPr>
      <w:r w:rsidRPr="00C57545">
        <w:t>Es gibt zu viele andere Hemmnisse (Finanzen, Informationen usw.), die Skaleneffekte bei Angebot und Nachfrage von Sekundärrohstoffen behindern</w:t>
      </w:r>
    </w:p>
    <w:p w14:paraId="6F551C9C" w14:textId="6DA4CF7C" w:rsidR="00C36A7E" w:rsidRPr="00C57545" w:rsidRDefault="00C36A7E" w:rsidP="00C57545">
      <w:pPr>
        <w:pStyle w:val="Listenabsatz"/>
        <w:numPr>
          <w:ilvl w:val="0"/>
          <w:numId w:val="6"/>
        </w:numPr>
      </w:pPr>
      <w:r w:rsidRPr="00C57545">
        <w:t>Das Angebot an Sekundärrohstoffen ist unzureichend</w:t>
      </w:r>
    </w:p>
    <w:p w14:paraId="25FB26A7" w14:textId="52AB3DFE" w:rsidR="00C36A7E" w:rsidRPr="00C57545" w:rsidRDefault="00C36A7E" w:rsidP="00C57545">
      <w:pPr>
        <w:pStyle w:val="Listenabsatz"/>
        <w:numPr>
          <w:ilvl w:val="0"/>
          <w:numId w:val="6"/>
        </w:numPr>
      </w:pPr>
      <w:r w:rsidRPr="00C57545">
        <w:t>Es besteht eine unzureichende Nachfrage nach Sekundärrohstoffen</w:t>
      </w:r>
    </w:p>
    <w:p w14:paraId="7E13BD02" w14:textId="29EDC030" w:rsidR="00C36A7E" w:rsidRPr="00C57545" w:rsidRDefault="00C36A7E" w:rsidP="00C57545">
      <w:pPr>
        <w:pStyle w:val="Listenabsatz"/>
        <w:numPr>
          <w:ilvl w:val="0"/>
          <w:numId w:val="6"/>
        </w:numPr>
      </w:pPr>
      <w:r w:rsidRPr="00C57545">
        <w:t>In der EU hergestellte Sekundärrohstoffe stehen im Wettbewerb mit importierten Sekundärrohstoffen, die billiger, von geringerer Qualität und/oder von unsicherer Herkunft sind</w:t>
      </w:r>
    </w:p>
    <w:p w14:paraId="483B0711" w14:textId="6ECD6B48" w:rsidR="00C36A7E" w:rsidRPr="00C57545" w:rsidRDefault="00C36A7E" w:rsidP="00C57545">
      <w:pPr>
        <w:pStyle w:val="Listenabsatz"/>
        <w:numPr>
          <w:ilvl w:val="0"/>
          <w:numId w:val="6"/>
        </w:numPr>
      </w:pPr>
      <w:r w:rsidRPr="00C57545">
        <w:t>In der EU gibt es nicht genügend hochwertige, sortierte Abfälle, um Sekundärrohstoffe zu erzeugen</w:t>
      </w:r>
    </w:p>
    <w:p w14:paraId="62DC6FC3" w14:textId="0ACD3437" w:rsidR="00C57545" w:rsidRPr="00C57545" w:rsidRDefault="00C57545" w:rsidP="00C57545">
      <w:pPr>
        <w:pStyle w:val="Listenabsatz"/>
        <w:numPr>
          <w:ilvl w:val="0"/>
          <w:numId w:val="6"/>
        </w:numPr>
      </w:pPr>
      <w:r w:rsidRPr="00C57545">
        <w:lastRenderedPageBreak/>
        <w:t>Die Infrastruktur für die Sammlung, Sortierung und den Transport von Sekundärrohstoffen innerhalb der EU ist unzureichend</w:t>
      </w:r>
    </w:p>
    <w:p w14:paraId="53668FA8" w14:textId="1BBCA4F9" w:rsidR="00C57545" w:rsidRPr="00C57545" w:rsidRDefault="00C57545" w:rsidP="00C57545">
      <w:pPr>
        <w:pStyle w:val="Listenabsatz"/>
        <w:numPr>
          <w:ilvl w:val="0"/>
          <w:numId w:val="6"/>
        </w:numPr>
      </w:pPr>
      <w:r w:rsidRPr="00C57545">
        <w:t>Geschäftsmodelle der Kreislaufwirtschaft erhalten nicht die notwendige finanzielle Unterstützung</w:t>
      </w:r>
    </w:p>
    <w:p w14:paraId="0555D687" w14:textId="3AFEEA42" w:rsidR="00C57545" w:rsidRPr="00C57545" w:rsidRDefault="00C57545" w:rsidP="00C57545">
      <w:pPr>
        <w:pStyle w:val="Listenabsatz"/>
        <w:numPr>
          <w:ilvl w:val="0"/>
          <w:numId w:val="6"/>
        </w:numPr>
      </w:pPr>
      <w:r w:rsidRPr="00C57545">
        <w:t>Die derzeitige Praxis des öffentlichen Beschaffungswesens gibt der Verwendung von Sekundärrohstoffen nicht genügend Vorrang bzw. schafft keine Anreize dafür</w:t>
      </w:r>
    </w:p>
    <w:p w14:paraId="5CF10180" w14:textId="205DF813" w:rsidR="00C57545" w:rsidRPr="00C57545" w:rsidRDefault="00C57545" w:rsidP="00C57545">
      <w:pPr>
        <w:pStyle w:val="Listenabsatz"/>
        <w:numPr>
          <w:ilvl w:val="0"/>
          <w:numId w:val="6"/>
        </w:numPr>
      </w:pPr>
      <w:r w:rsidRPr="00C57545">
        <w:t>Die Hauptakteure in den Wertschöpfungsketten der Produkte (z. B. Hersteller und Recycler) arbeiten nicht ausreichend zusammen, um die Kreislaufwirtschaft zu verbessern</w:t>
      </w:r>
    </w:p>
    <w:p w14:paraId="0B0C894D" w14:textId="5C4C0691" w:rsidR="00316FA3" w:rsidRDefault="00C57545" w:rsidP="00316FA3">
      <w:pPr>
        <w:pStyle w:val="Listenabsatz"/>
        <w:numPr>
          <w:ilvl w:val="0"/>
          <w:numId w:val="6"/>
        </w:numPr>
      </w:pPr>
      <w:r w:rsidRPr="00C57545">
        <w:t>Das Bewusstsein und die Akzeptanz der Verbraucher für Produkte aus Sekundärrohstoffen ist gerin</w:t>
      </w:r>
      <w:r w:rsidR="00D04B35">
        <w:t>g</w:t>
      </w:r>
    </w:p>
    <w:p w14:paraId="5FF6B80E" w14:textId="77777777" w:rsidR="00D04B35" w:rsidRDefault="00D04B35" w:rsidP="00D04B35">
      <w:pPr>
        <w:pStyle w:val="Listenabsatz"/>
      </w:pPr>
    </w:p>
    <w:p w14:paraId="241585D6" w14:textId="2EA20529" w:rsidR="00E14A6F" w:rsidRPr="00D04B35" w:rsidRDefault="00C57545" w:rsidP="00591A5C">
      <w:pPr>
        <w:pStyle w:val="Listenabsatz"/>
        <w:numPr>
          <w:ilvl w:val="0"/>
          <w:numId w:val="3"/>
        </w:numPr>
        <w:rPr>
          <w:b/>
          <w:bCs/>
        </w:rPr>
      </w:pPr>
      <w:r w:rsidRPr="00D04B35">
        <w:rPr>
          <w:b/>
          <w:bCs/>
        </w:rPr>
        <w:t xml:space="preserve">Gibt es noch weitere Barrieren für Unternehmen, um auf ein Kreislauf-Geschäftsmodell umzusteigen? </w:t>
      </w:r>
    </w:p>
    <w:p w14:paraId="37126104" w14:textId="77777777" w:rsidR="00D04B35" w:rsidRPr="00D04B35" w:rsidRDefault="00D04B35" w:rsidP="00D04B35">
      <w:pPr>
        <w:rPr>
          <w:b/>
          <w:bCs/>
        </w:rPr>
      </w:pPr>
    </w:p>
    <w:p w14:paraId="49002E47" w14:textId="4764C61B" w:rsidR="00CA5862" w:rsidRPr="00E70270" w:rsidRDefault="00CA5862" w:rsidP="00E70270">
      <w:pPr>
        <w:pStyle w:val="Listenabsatz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Welche der</w:t>
      </w:r>
      <w:r w:rsidR="00154A9C" w:rsidRPr="00D04B35">
        <w:rPr>
          <w:b/>
          <w:bCs/>
        </w:rPr>
        <w:t xml:space="preserve"> folgenden Vorschriften </w:t>
      </w:r>
      <w:r>
        <w:rPr>
          <w:b/>
          <w:bCs/>
        </w:rPr>
        <w:t xml:space="preserve">sollten prioritär </w:t>
      </w:r>
      <w:r w:rsidR="00154A9C" w:rsidRPr="00D04B35">
        <w:rPr>
          <w:b/>
          <w:bCs/>
        </w:rPr>
        <w:t>vereinfa</w:t>
      </w:r>
      <w:r>
        <w:rPr>
          <w:b/>
          <w:bCs/>
        </w:rPr>
        <w:t>cht werden</w:t>
      </w:r>
      <w:r w:rsidR="00154A9C" w:rsidRPr="00D04B35">
        <w:rPr>
          <w:b/>
          <w:bCs/>
        </w:rPr>
        <w:t xml:space="preserve"> (z. B. durch Harmonisierung), um den </w:t>
      </w:r>
      <w:r w:rsidR="006C1D84">
        <w:rPr>
          <w:b/>
          <w:bCs/>
        </w:rPr>
        <w:t>EU-</w:t>
      </w:r>
      <w:r w:rsidR="00154A9C" w:rsidRPr="00D04B35">
        <w:rPr>
          <w:b/>
          <w:bCs/>
        </w:rPr>
        <w:t>Binnenmarkt für Abfälle und Sekundärrohstoffe zu verbessern</w:t>
      </w:r>
      <w:r>
        <w:rPr>
          <w:b/>
          <w:bCs/>
        </w:rPr>
        <w:t xml:space="preserve"> bzw. </w:t>
      </w:r>
      <w:r w:rsidRPr="00CA5862">
        <w:rPr>
          <w:b/>
          <w:bCs/>
        </w:rPr>
        <w:t>den Umstieg auf Kreislaufwirtschaft für Unternehmen zu vereinfachen</w:t>
      </w:r>
      <w:r w:rsidR="73B6F4B1" w:rsidRPr="47CF6E2D">
        <w:rPr>
          <w:b/>
          <w:bCs/>
        </w:rPr>
        <w:t xml:space="preserve"> (Mehrfachnennung möglich)</w:t>
      </w:r>
      <w:r w:rsidR="0880FDF0" w:rsidRPr="47CF6E2D">
        <w:rPr>
          <w:b/>
          <w:bCs/>
        </w:rPr>
        <w:t>?</w:t>
      </w:r>
    </w:p>
    <w:p w14:paraId="3CDB6D62" w14:textId="387AF6D1" w:rsidR="00CA5862" w:rsidRPr="00CA5862" w:rsidRDefault="00CA5862" w:rsidP="00CA5862">
      <w:pPr>
        <w:pStyle w:val="Listenabsatz"/>
        <w:numPr>
          <w:ilvl w:val="0"/>
          <w:numId w:val="8"/>
        </w:numPr>
      </w:pPr>
      <w:r w:rsidRPr="00CA5862">
        <w:t xml:space="preserve">Erweiterte Herstellerverantwortung </w:t>
      </w:r>
    </w:p>
    <w:p w14:paraId="3042D296" w14:textId="57B99D1E" w:rsidR="00CA5862" w:rsidRPr="00CA5862" w:rsidRDefault="00CA5862" w:rsidP="00CA5862">
      <w:pPr>
        <w:pStyle w:val="Listenabsatz"/>
        <w:numPr>
          <w:ilvl w:val="0"/>
          <w:numId w:val="8"/>
        </w:numPr>
      </w:pPr>
      <w:r w:rsidRPr="00CA5862">
        <w:t>Kriterien für das Ende der Abfalleigenschaft</w:t>
      </w:r>
    </w:p>
    <w:p w14:paraId="13393E29" w14:textId="3390EC76" w:rsidR="00CA5862" w:rsidRPr="00CA5862" w:rsidRDefault="00CA5862" w:rsidP="00CA5862">
      <w:pPr>
        <w:pStyle w:val="Listenabsatz"/>
        <w:numPr>
          <w:ilvl w:val="0"/>
          <w:numId w:val="8"/>
        </w:numPr>
      </w:pPr>
      <w:r w:rsidRPr="00CA5862">
        <w:t xml:space="preserve">Kriterien für Nebenerzeugnisse </w:t>
      </w:r>
    </w:p>
    <w:p w14:paraId="08BA505E" w14:textId="6256243C" w:rsidR="00CA5862" w:rsidRPr="00CA5862" w:rsidRDefault="00CA5862" w:rsidP="00CA5862">
      <w:pPr>
        <w:pStyle w:val="Listenabsatz"/>
        <w:numPr>
          <w:ilvl w:val="0"/>
          <w:numId w:val="8"/>
        </w:numPr>
      </w:pPr>
      <w:r w:rsidRPr="00CA5862">
        <w:t xml:space="preserve">Genehmigungen (z.B. für die Einrichtung einer Recyclinganlage </w:t>
      </w:r>
    </w:p>
    <w:p w14:paraId="5BBE6C2B" w14:textId="4E4EA661" w:rsidR="00CA5862" w:rsidRPr="00CA5862" w:rsidRDefault="00CA5862" w:rsidP="00CA5862">
      <w:pPr>
        <w:pStyle w:val="Listenabsatz"/>
        <w:numPr>
          <w:ilvl w:val="0"/>
          <w:numId w:val="8"/>
        </w:numPr>
      </w:pPr>
      <w:r w:rsidRPr="00CA5862">
        <w:t xml:space="preserve">Regeln für die grenzüberschreitende Verbringung von Abfällen innerhalb </w:t>
      </w:r>
      <w:r w:rsidR="00654255">
        <w:t>der EU</w:t>
      </w:r>
    </w:p>
    <w:p w14:paraId="64073C6A" w14:textId="5AC5E1E5" w:rsidR="00CA5862" w:rsidRPr="00CA5862" w:rsidRDefault="00CA5862" w:rsidP="00CA5862">
      <w:pPr>
        <w:pStyle w:val="Listenabsatz"/>
        <w:numPr>
          <w:ilvl w:val="0"/>
          <w:numId w:val="8"/>
        </w:numPr>
      </w:pPr>
      <w:r w:rsidRPr="00CA5862">
        <w:t xml:space="preserve">Sonstige: </w:t>
      </w:r>
    </w:p>
    <w:p w14:paraId="5D79D061" w14:textId="77777777" w:rsidR="003D0561" w:rsidRPr="00CA5862" w:rsidRDefault="003D0561" w:rsidP="00CA5862">
      <w:pPr>
        <w:rPr>
          <w:i/>
          <w:iCs/>
        </w:rPr>
      </w:pPr>
    </w:p>
    <w:p w14:paraId="170CAAB0" w14:textId="77777777" w:rsidR="00392F7E" w:rsidRPr="00E708E2" w:rsidRDefault="00392F7E" w:rsidP="00E708E2">
      <w:pPr>
        <w:pStyle w:val="berschrift2"/>
        <w:rPr>
          <w:rFonts w:hint="eastAsia"/>
        </w:rPr>
      </w:pPr>
      <w:r w:rsidRPr="00E708E2">
        <w:t>Maßnahmen zur Ankurbelung der Nachfrage nach Sekundärrohstoffen</w:t>
      </w:r>
    </w:p>
    <w:p w14:paraId="5BFCE69B" w14:textId="79093F4A" w:rsidR="00392F7E" w:rsidRPr="009F7B4D" w:rsidRDefault="00392F7E" w:rsidP="003D0561">
      <w:pPr>
        <w:pStyle w:val="Listenabsatz"/>
        <w:numPr>
          <w:ilvl w:val="0"/>
          <w:numId w:val="3"/>
        </w:numPr>
        <w:rPr>
          <w:b/>
          <w:bCs/>
          <w:color w:val="000000" w:themeColor="text1"/>
        </w:rPr>
      </w:pPr>
      <w:r w:rsidRPr="009F7B4D">
        <w:rPr>
          <w:b/>
          <w:bCs/>
          <w:color w:val="000000" w:themeColor="text1"/>
        </w:rPr>
        <w:t>Sind Sie dafür</w:t>
      </w:r>
      <w:r w:rsidR="009F7B4D" w:rsidRPr="009F7B4D">
        <w:rPr>
          <w:b/>
          <w:bCs/>
          <w:color w:val="000000" w:themeColor="text1"/>
        </w:rPr>
        <w:t xml:space="preserve"> oder dagegen</w:t>
      </w:r>
      <w:r w:rsidRPr="009F7B4D">
        <w:rPr>
          <w:b/>
          <w:bCs/>
          <w:color w:val="000000" w:themeColor="text1"/>
        </w:rPr>
        <w:t>, dass die Kommission Mindestziele für den biobasierten Anteil auf EU-Ebene vorschlägt?</w:t>
      </w:r>
      <w:r w:rsidR="003D0561" w:rsidRPr="009F7B4D">
        <w:rPr>
          <w:b/>
          <w:bCs/>
          <w:color w:val="000000" w:themeColor="text1"/>
        </w:rPr>
        <w:t xml:space="preserve"> Bitte begründen Sie Ihre Antwort</w:t>
      </w:r>
      <w:r w:rsidR="6B0F2A43" w:rsidRPr="01FD2823">
        <w:rPr>
          <w:b/>
          <w:bCs/>
          <w:color w:val="000000" w:themeColor="text1"/>
        </w:rPr>
        <w:t xml:space="preserve"> (auch in Stichworten)</w:t>
      </w:r>
      <w:r w:rsidR="45957E16" w:rsidRPr="01FD2823">
        <w:rPr>
          <w:b/>
          <w:bCs/>
          <w:color w:val="000000" w:themeColor="text1"/>
        </w:rPr>
        <w:t>:</w:t>
      </w:r>
    </w:p>
    <w:p w14:paraId="79AC4A1D" w14:textId="2FCC8946" w:rsidR="00392F7E" w:rsidRPr="000F3ED8" w:rsidRDefault="00392F7E" w:rsidP="000F3ED8">
      <w:pPr>
        <w:pStyle w:val="Listenabsatz"/>
        <w:rPr>
          <w:b/>
          <w:bCs/>
        </w:rPr>
      </w:pPr>
    </w:p>
    <w:p w14:paraId="5C1C60EE" w14:textId="5C38D761" w:rsidR="00DE26BF" w:rsidRPr="00E70270" w:rsidRDefault="00DE26BF" w:rsidP="00E70270">
      <w:pPr>
        <w:pStyle w:val="Listenabsatz"/>
        <w:numPr>
          <w:ilvl w:val="0"/>
          <w:numId w:val="3"/>
        </w:numPr>
        <w:rPr>
          <w:b/>
          <w:bCs/>
        </w:rPr>
      </w:pPr>
      <w:r w:rsidRPr="000F3ED8">
        <w:rPr>
          <w:b/>
          <w:bCs/>
        </w:rPr>
        <w:t xml:space="preserve">Welche der folgenden Maßnahmen </w:t>
      </w:r>
      <w:r w:rsidR="00392F7E" w:rsidRPr="000F3ED8">
        <w:rPr>
          <w:b/>
          <w:bCs/>
        </w:rPr>
        <w:t>zur Steigerung der Nachfrage nach Sekund</w:t>
      </w:r>
      <w:r w:rsidR="00392F7E" w:rsidRPr="000F3ED8">
        <w:rPr>
          <w:rFonts w:hint="cs"/>
          <w:b/>
          <w:bCs/>
        </w:rPr>
        <w:t>ä</w:t>
      </w:r>
      <w:r w:rsidR="00392F7E" w:rsidRPr="000F3ED8">
        <w:rPr>
          <w:b/>
          <w:bCs/>
        </w:rPr>
        <w:t>rrohstoffen</w:t>
      </w:r>
      <w:r w:rsidRPr="000F3ED8">
        <w:rPr>
          <w:b/>
          <w:bCs/>
        </w:rPr>
        <w:t xml:space="preserve"> sind besonders wichtig</w:t>
      </w:r>
      <w:r w:rsidR="00392F7E" w:rsidRPr="000F3ED8">
        <w:rPr>
          <w:b/>
          <w:bCs/>
        </w:rPr>
        <w:t>?</w:t>
      </w:r>
      <w:r w:rsidR="00B851B6">
        <w:rPr>
          <w:b/>
          <w:bCs/>
        </w:rPr>
        <w:t xml:space="preserve"> </w:t>
      </w:r>
      <w:r w:rsidR="00D86B70">
        <w:rPr>
          <w:b/>
          <w:bCs/>
        </w:rPr>
        <w:t>Bitte m</w:t>
      </w:r>
      <w:r w:rsidR="00B851B6">
        <w:rPr>
          <w:b/>
          <w:bCs/>
        </w:rPr>
        <w:t xml:space="preserve">arkieren Sie die </w:t>
      </w:r>
      <w:r w:rsidR="00D20714">
        <w:rPr>
          <w:b/>
          <w:bCs/>
        </w:rPr>
        <w:t xml:space="preserve">aus Unternehmensperspektive </w:t>
      </w:r>
      <w:r w:rsidR="00077760">
        <w:rPr>
          <w:b/>
          <w:bCs/>
        </w:rPr>
        <w:t>drei b</w:t>
      </w:r>
      <w:r w:rsidR="00C12E5B">
        <w:rPr>
          <w:b/>
          <w:bCs/>
        </w:rPr>
        <w:t xml:space="preserve">is </w:t>
      </w:r>
      <w:r w:rsidR="00077760">
        <w:rPr>
          <w:b/>
          <w:bCs/>
        </w:rPr>
        <w:t xml:space="preserve">fünf </w:t>
      </w:r>
      <w:r w:rsidR="00D20714">
        <w:rPr>
          <w:b/>
          <w:bCs/>
        </w:rPr>
        <w:t xml:space="preserve">wichtigsten </w:t>
      </w:r>
      <w:r w:rsidR="00077760">
        <w:rPr>
          <w:b/>
          <w:bCs/>
        </w:rPr>
        <w:t>Maßnahmen</w:t>
      </w:r>
      <w:r w:rsidR="00B851B6">
        <w:rPr>
          <w:b/>
          <w:bCs/>
        </w:rPr>
        <w:t xml:space="preserve">. </w:t>
      </w:r>
    </w:p>
    <w:p w14:paraId="2E39025C" w14:textId="780C4C11" w:rsidR="00DE26BF" w:rsidRPr="002D2779" w:rsidRDefault="00FD382F" w:rsidP="00DE26BF">
      <w:pPr>
        <w:pStyle w:val="Listenabsatz"/>
        <w:numPr>
          <w:ilvl w:val="0"/>
          <w:numId w:val="9"/>
        </w:numPr>
      </w:pPr>
      <w:r w:rsidRPr="002D2779">
        <w:t>Mindestvorgaben f</w:t>
      </w:r>
      <w:r w:rsidRPr="002D2779">
        <w:rPr>
          <w:rFonts w:hint="cs"/>
        </w:rPr>
        <w:t>ü</w:t>
      </w:r>
      <w:r w:rsidRPr="002D2779">
        <w:t>r den recycelten Anteil</w:t>
      </w:r>
    </w:p>
    <w:p w14:paraId="484CE2FC" w14:textId="5BC16DDC" w:rsidR="00FD382F" w:rsidRPr="002D2779" w:rsidRDefault="003B7AE1" w:rsidP="00DE26BF">
      <w:pPr>
        <w:pStyle w:val="Listenabsatz"/>
        <w:numPr>
          <w:ilvl w:val="0"/>
          <w:numId w:val="9"/>
        </w:numPr>
      </w:pPr>
      <w:r w:rsidRPr="002D2779">
        <w:t>EU-Mindestziele f</w:t>
      </w:r>
      <w:r w:rsidRPr="002D2779">
        <w:rPr>
          <w:rFonts w:hint="cs"/>
        </w:rPr>
        <w:t>ü</w:t>
      </w:r>
      <w:r w:rsidRPr="002D2779">
        <w:t>r den Anteil an recyceltem Material</w:t>
      </w:r>
    </w:p>
    <w:p w14:paraId="77096005" w14:textId="47D9517F" w:rsidR="003B7AE1" w:rsidRPr="002D2779" w:rsidRDefault="003B7AE1" w:rsidP="00DE26BF">
      <w:pPr>
        <w:pStyle w:val="Listenabsatz"/>
        <w:numPr>
          <w:ilvl w:val="0"/>
          <w:numId w:val="9"/>
        </w:numPr>
      </w:pPr>
      <w:r w:rsidRPr="002D2779">
        <w:t>Regeln für das öffentliche Auftragswesen, die Produkte/Unternehmen begünstigen, die Sekundärrohstoffe verwenden</w:t>
      </w:r>
    </w:p>
    <w:p w14:paraId="74574E13" w14:textId="37BFAE51" w:rsidR="003B7AE1" w:rsidRPr="002D2779" w:rsidRDefault="003B7AE1" w:rsidP="00DE26BF">
      <w:pPr>
        <w:pStyle w:val="Listenabsatz"/>
        <w:numPr>
          <w:ilvl w:val="0"/>
          <w:numId w:val="9"/>
        </w:numPr>
      </w:pPr>
      <w:r w:rsidRPr="002D2779">
        <w:t>Regeln für das öffentliche Auftragswesen, die Produkte/Unternehmen begünstigen, die in der EU hergestellte Sekundärrohstoffe verwenden</w:t>
      </w:r>
    </w:p>
    <w:p w14:paraId="5EAFDEE3" w14:textId="16758036" w:rsidR="003B7AE1" w:rsidRPr="002D2779" w:rsidRDefault="003B7AE1" w:rsidP="00DE26BF">
      <w:pPr>
        <w:pStyle w:val="Listenabsatz"/>
        <w:numPr>
          <w:ilvl w:val="0"/>
          <w:numId w:val="9"/>
        </w:numPr>
      </w:pPr>
      <w:r w:rsidRPr="002D2779">
        <w:t>EU-weite Standards für die Qualität und Rückverfolgbarkeit von Sekundärrohstoffen</w:t>
      </w:r>
    </w:p>
    <w:p w14:paraId="27B027BE" w14:textId="63E1DD9D" w:rsidR="003B7AE1" w:rsidRPr="002D2779" w:rsidRDefault="003B7AE1" w:rsidP="00DE26BF">
      <w:pPr>
        <w:pStyle w:val="Listenabsatz"/>
        <w:numPr>
          <w:ilvl w:val="0"/>
          <w:numId w:val="9"/>
        </w:numPr>
      </w:pPr>
      <w:r w:rsidRPr="002D2779">
        <w:t>Maßnahmen zur weiteren Reduzierung der Deponierung von Abfällen</w:t>
      </w:r>
    </w:p>
    <w:p w14:paraId="5F07E80E" w14:textId="09737B68" w:rsidR="003B7AE1" w:rsidRPr="002D2779" w:rsidRDefault="003B7AE1" w:rsidP="00DE26BF">
      <w:pPr>
        <w:pStyle w:val="Listenabsatz"/>
        <w:numPr>
          <w:ilvl w:val="0"/>
          <w:numId w:val="9"/>
        </w:numPr>
      </w:pPr>
      <w:r w:rsidRPr="002D2779">
        <w:t>Informationen über die Qualität und Herkunft der Sekundärrohstoffe</w:t>
      </w:r>
    </w:p>
    <w:p w14:paraId="2C59B59B" w14:textId="070C1C34" w:rsidR="002D2779" w:rsidRPr="002D2779" w:rsidRDefault="002D2779" w:rsidP="00DE26BF">
      <w:pPr>
        <w:pStyle w:val="Listenabsatz"/>
        <w:numPr>
          <w:ilvl w:val="0"/>
          <w:numId w:val="9"/>
        </w:numPr>
      </w:pPr>
      <w:r w:rsidRPr="002D2779">
        <w:t>Preisanreize für Produkte oder Unternehmen, die in der EU hergestellte Sekundärrohstoffe verwenden (z. B. Mehrwertsteuerbefreiungen und Steuergutschriften)</w:t>
      </w:r>
    </w:p>
    <w:p w14:paraId="0C7CA995" w14:textId="71BC9826" w:rsidR="002D2779" w:rsidRPr="002D2779" w:rsidRDefault="002D2779" w:rsidP="00DE26BF">
      <w:pPr>
        <w:pStyle w:val="Listenabsatz"/>
        <w:numPr>
          <w:ilvl w:val="0"/>
          <w:numId w:val="9"/>
        </w:numPr>
      </w:pPr>
      <w:r w:rsidRPr="002D2779">
        <w:lastRenderedPageBreak/>
        <w:t>Preisliche Fehlanreize für Produkte oder Unternehmen, die Primärrohstoffe verwenden (z. B. Steuern und Kohlenstoffkosten)</w:t>
      </w:r>
    </w:p>
    <w:p w14:paraId="77D86E87" w14:textId="15DA12F6" w:rsidR="002D2779" w:rsidRPr="002D2779" w:rsidRDefault="002D2779" w:rsidP="00DE26BF">
      <w:pPr>
        <w:pStyle w:val="Listenabsatz"/>
        <w:numPr>
          <w:ilvl w:val="0"/>
          <w:numId w:val="9"/>
        </w:numPr>
      </w:pPr>
      <w:r w:rsidRPr="002D2779">
        <w:t>Stärkere Unterstützung durch Systeme der erweiterten Herstellerverantwortung für die Verwendung von Sekundärrohstoffen (z. B. Ökomodulation der Gebühren für die erweiterte Herstellerverantwortung)</w:t>
      </w:r>
    </w:p>
    <w:p w14:paraId="282EC5FE" w14:textId="5174E3F4" w:rsidR="002D2779" w:rsidRPr="002D2779" w:rsidRDefault="002D2779" w:rsidP="00DE26BF">
      <w:pPr>
        <w:pStyle w:val="Listenabsatz"/>
        <w:numPr>
          <w:ilvl w:val="0"/>
          <w:numId w:val="9"/>
        </w:numPr>
      </w:pPr>
      <w:r w:rsidRPr="002D2779">
        <w:t>Stärkere Marktüberwachung</w:t>
      </w:r>
    </w:p>
    <w:p w14:paraId="02D4C1D2" w14:textId="1B1573FE" w:rsidR="002D2779" w:rsidRDefault="002D2779" w:rsidP="00DE26BF">
      <w:pPr>
        <w:pStyle w:val="Listenabsatz"/>
        <w:numPr>
          <w:ilvl w:val="0"/>
          <w:numId w:val="9"/>
        </w:numPr>
      </w:pPr>
      <w:r w:rsidRPr="002D2779">
        <w:t>Unterstützung zur Steigerung der Abfallrecyclingaktivitäten in der EU (z. B. finanzielle Unterstützung für neue Kapazitäten)</w:t>
      </w:r>
    </w:p>
    <w:p w14:paraId="6FEDA907" w14:textId="4436C749" w:rsidR="002D2779" w:rsidRPr="002D2779" w:rsidRDefault="002D2779" w:rsidP="00DE26BF">
      <w:pPr>
        <w:pStyle w:val="Listenabsatz"/>
        <w:numPr>
          <w:ilvl w:val="0"/>
          <w:numId w:val="9"/>
        </w:numPr>
      </w:pPr>
      <w:r>
        <w:t xml:space="preserve">Sonstige: </w:t>
      </w:r>
    </w:p>
    <w:p w14:paraId="765E3CF4" w14:textId="14733D6C" w:rsidR="00392F7E" w:rsidRDefault="00392F7E" w:rsidP="00392F7E">
      <w:pPr>
        <w:rPr>
          <w:b/>
          <w:bCs/>
          <w:u w:val="single"/>
        </w:rPr>
      </w:pPr>
    </w:p>
    <w:p w14:paraId="3C12BB01" w14:textId="7D7D0998" w:rsidR="00FA1AE0" w:rsidRDefault="00FA1AE0" w:rsidP="00FA1AE0">
      <w:pPr>
        <w:pStyle w:val="Listenabsatz"/>
        <w:numPr>
          <w:ilvl w:val="0"/>
          <w:numId w:val="3"/>
        </w:numPr>
        <w:rPr>
          <w:b/>
          <w:bCs/>
        </w:rPr>
      </w:pPr>
      <w:r w:rsidRPr="00FA1AE0">
        <w:rPr>
          <w:b/>
          <w:bCs/>
        </w:rPr>
        <w:t>Welche Rolle kann</w:t>
      </w:r>
      <w:r w:rsidR="003678B1">
        <w:rPr>
          <w:b/>
          <w:bCs/>
        </w:rPr>
        <w:t>/soll</w:t>
      </w:r>
      <w:r w:rsidRPr="00FA1AE0">
        <w:rPr>
          <w:b/>
          <w:bCs/>
        </w:rPr>
        <w:t xml:space="preserve"> das öffentliche Auftragswesen im Kontext der Förderung der Kreislaufwirtschaft spielen? </w:t>
      </w:r>
      <w:r w:rsidR="005E4125">
        <w:rPr>
          <w:b/>
          <w:bCs/>
        </w:rPr>
        <w:t xml:space="preserve">Wie </w:t>
      </w:r>
      <w:r w:rsidR="00A60292">
        <w:rPr>
          <w:b/>
          <w:bCs/>
        </w:rPr>
        <w:t>muss es ausgestaltet sein, um Kreislaufwirtschaft sinnvoll zu fördern?</w:t>
      </w:r>
      <w:r w:rsidR="49C6B01B" w:rsidRPr="01FD2823">
        <w:rPr>
          <w:b/>
          <w:bCs/>
        </w:rPr>
        <w:t xml:space="preserve"> (stichwortartig)</w:t>
      </w:r>
    </w:p>
    <w:p w14:paraId="54EA3C08" w14:textId="77777777" w:rsidR="00FA1AE0" w:rsidRPr="00FA1AE0" w:rsidRDefault="00FA1AE0" w:rsidP="00FA1AE0">
      <w:pPr>
        <w:pStyle w:val="Listenabsatz"/>
        <w:rPr>
          <w:b/>
          <w:bCs/>
        </w:rPr>
      </w:pPr>
    </w:p>
    <w:p w14:paraId="6BCE53E0" w14:textId="2ED21CEC" w:rsidR="00965ADD" w:rsidRPr="00D86B70" w:rsidRDefault="00392F7E" w:rsidP="00D86B70">
      <w:pPr>
        <w:pStyle w:val="Listenabsatz"/>
        <w:numPr>
          <w:ilvl w:val="0"/>
          <w:numId w:val="3"/>
        </w:numPr>
        <w:rPr>
          <w:b/>
          <w:bCs/>
        </w:rPr>
      </w:pPr>
      <w:r w:rsidRPr="00B851B6">
        <w:rPr>
          <w:b/>
          <w:bCs/>
        </w:rPr>
        <w:t>Inwieweit</w:t>
      </w:r>
      <w:r w:rsidRPr="00965ADD">
        <w:rPr>
          <w:b/>
          <w:bCs/>
        </w:rPr>
        <w:t xml:space="preserve"> stimmen Sie den folgenden Aussagen zum </w:t>
      </w:r>
      <w:r w:rsidRPr="00965ADD">
        <w:rPr>
          <w:rFonts w:hint="cs"/>
          <w:b/>
          <w:bCs/>
        </w:rPr>
        <w:t>ö</w:t>
      </w:r>
      <w:r w:rsidRPr="00965ADD">
        <w:rPr>
          <w:b/>
          <w:bCs/>
        </w:rPr>
        <w:t>ffentlichen Auftragswesen zu?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74"/>
        <w:gridCol w:w="986"/>
        <w:gridCol w:w="726"/>
        <w:gridCol w:w="1068"/>
        <w:gridCol w:w="927"/>
        <w:gridCol w:w="927"/>
        <w:gridCol w:w="927"/>
        <w:gridCol w:w="927"/>
      </w:tblGrid>
      <w:tr w:rsidR="009163AC" w14:paraId="0B88C328" w14:textId="77777777" w:rsidTr="006C1F70">
        <w:tc>
          <w:tcPr>
            <w:tcW w:w="2574" w:type="dxa"/>
          </w:tcPr>
          <w:p w14:paraId="6A8B73DA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02E863DE" w14:textId="5E72588B" w:rsidR="009163AC" w:rsidRPr="006C1F70" w:rsidRDefault="006C1F70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Stimme voll und ganz zu</w:t>
            </w:r>
          </w:p>
        </w:tc>
        <w:tc>
          <w:tcPr>
            <w:tcW w:w="726" w:type="dxa"/>
          </w:tcPr>
          <w:p w14:paraId="284BDDD1" w14:textId="75E2E01B" w:rsidR="009163AC" w:rsidRPr="006C1F70" w:rsidRDefault="006C1F70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Stimme zu</w:t>
            </w:r>
          </w:p>
        </w:tc>
        <w:tc>
          <w:tcPr>
            <w:tcW w:w="1068" w:type="dxa"/>
          </w:tcPr>
          <w:p w14:paraId="01896E2D" w14:textId="4DA0ADD5" w:rsidR="009163AC" w:rsidRPr="006C1F70" w:rsidRDefault="006C1F70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neutral</w:t>
            </w:r>
          </w:p>
        </w:tc>
        <w:tc>
          <w:tcPr>
            <w:tcW w:w="927" w:type="dxa"/>
          </w:tcPr>
          <w:p w14:paraId="10547743" w14:textId="3876AB16" w:rsidR="009163AC" w:rsidRPr="006C1F70" w:rsidRDefault="006C1F70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Stimme nicht zu</w:t>
            </w:r>
          </w:p>
        </w:tc>
        <w:tc>
          <w:tcPr>
            <w:tcW w:w="927" w:type="dxa"/>
          </w:tcPr>
          <w:p w14:paraId="137000B0" w14:textId="6A368753" w:rsidR="009163AC" w:rsidRPr="006C1F70" w:rsidRDefault="006C1F70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Stimme ganz und gar nicht zu</w:t>
            </w:r>
          </w:p>
        </w:tc>
        <w:tc>
          <w:tcPr>
            <w:tcW w:w="927" w:type="dxa"/>
          </w:tcPr>
          <w:p w14:paraId="4AD71985" w14:textId="66C5AC49" w:rsidR="009163AC" w:rsidRPr="006C1F70" w:rsidRDefault="006C1F70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Weiß ich nicht</w:t>
            </w:r>
          </w:p>
        </w:tc>
        <w:tc>
          <w:tcPr>
            <w:tcW w:w="927" w:type="dxa"/>
          </w:tcPr>
          <w:p w14:paraId="38FAE0A4" w14:textId="0A80E5D1" w:rsidR="009163AC" w:rsidRPr="006C1F70" w:rsidRDefault="006C1F70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Nicht zutreffend</w:t>
            </w:r>
          </w:p>
        </w:tc>
      </w:tr>
      <w:tr w:rsidR="009163AC" w14:paraId="20A8BBBC" w14:textId="77777777" w:rsidTr="006C1F70">
        <w:tc>
          <w:tcPr>
            <w:tcW w:w="2574" w:type="dxa"/>
          </w:tcPr>
          <w:p w14:paraId="18B38543" w14:textId="5C23ED0D" w:rsidR="009163AC" w:rsidRPr="006C1F70" w:rsidRDefault="005A6A0C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Das öffentliche Beschaffungswesen kann ein wichtiger Motor für die Kreislaufwirtschaft sein</w:t>
            </w:r>
          </w:p>
        </w:tc>
        <w:tc>
          <w:tcPr>
            <w:tcW w:w="986" w:type="dxa"/>
          </w:tcPr>
          <w:p w14:paraId="3A0C29DE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726" w:type="dxa"/>
          </w:tcPr>
          <w:p w14:paraId="7FAEEAE8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7476CE7F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0CDCE709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1197F25B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0D393560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66C14CB5" w14:textId="77777777" w:rsidR="009163AC" w:rsidRDefault="009163AC" w:rsidP="00965ADD">
            <w:pPr>
              <w:rPr>
                <w:b/>
                <w:bCs/>
              </w:rPr>
            </w:pPr>
          </w:p>
        </w:tc>
      </w:tr>
      <w:tr w:rsidR="009163AC" w14:paraId="7CCF2DE0" w14:textId="77777777" w:rsidTr="006C1F70">
        <w:tc>
          <w:tcPr>
            <w:tcW w:w="2574" w:type="dxa"/>
          </w:tcPr>
          <w:p w14:paraId="0436D811" w14:textId="21EB9DEC" w:rsidR="009163AC" w:rsidRPr="006C1F70" w:rsidRDefault="003F27FD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Zirkularitätskriterien sollten Preiskriterien ergänzen</w:t>
            </w:r>
          </w:p>
        </w:tc>
        <w:tc>
          <w:tcPr>
            <w:tcW w:w="986" w:type="dxa"/>
          </w:tcPr>
          <w:p w14:paraId="470BC391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726" w:type="dxa"/>
          </w:tcPr>
          <w:p w14:paraId="295A5EC7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0AF2CE9D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1FED1A1B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660F32B5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70192CBB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10D6001E" w14:textId="77777777" w:rsidR="009163AC" w:rsidRDefault="009163AC" w:rsidP="00965ADD">
            <w:pPr>
              <w:rPr>
                <w:b/>
                <w:bCs/>
              </w:rPr>
            </w:pPr>
          </w:p>
        </w:tc>
      </w:tr>
      <w:tr w:rsidR="009163AC" w14:paraId="25EE5AE0" w14:textId="77777777" w:rsidTr="006C1F70">
        <w:tc>
          <w:tcPr>
            <w:tcW w:w="2574" w:type="dxa"/>
          </w:tcPr>
          <w:p w14:paraId="331FE64F" w14:textId="6820F7AD" w:rsidR="009163AC" w:rsidRPr="006C1F70" w:rsidRDefault="003F27FD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Die Anwendung von Kriterien der Zirkularität sollte den öffentlichen Auftraggebern freigestellt sein</w:t>
            </w:r>
          </w:p>
        </w:tc>
        <w:tc>
          <w:tcPr>
            <w:tcW w:w="986" w:type="dxa"/>
          </w:tcPr>
          <w:p w14:paraId="69D328F5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726" w:type="dxa"/>
          </w:tcPr>
          <w:p w14:paraId="64D72B0C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2D9B68B7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3E0D09E6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15419918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109AEDB6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229E173E" w14:textId="77777777" w:rsidR="009163AC" w:rsidRDefault="009163AC" w:rsidP="00965ADD">
            <w:pPr>
              <w:rPr>
                <w:b/>
                <w:bCs/>
              </w:rPr>
            </w:pPr>
          </w:p>
        </w:tc>
      </w:tr>
      <w:tr w:rsidR="009163AC" w14:paraId="4BCEC190" w14:textId="77777777" w:rsidTr="006C1F70">
        <w:tc>
          <w:tcPr>
            <w:tcW w:w="2574" w:type="dxa"/>
          </w:tcPr>
          <w:p w14:paraId="44210370" w14:textId="51626757" w:rsidR="009163AC" w:rsidRPr="006C1F70" w:rsidRDefault="003F27FD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Die Anwendung von Zirkularitätskriterien sollte für die öffentlichen Auftraggeber verbindlich sein</w:t>
            </w:r>
          </w:p>
        </w:tc>
        <w:tc>
          <w:tcPr>
            <w:tcW w:w="986" w:type="dxa"/>
          </w:tcPr>
          <w:p w14:paraId="418DC524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726" w:type="dxa"/>
          </w:tcPr>
          <w:p w14:paraId="76D0CDAB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436EFFEC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145CE2AB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4A707D1B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587C5D7B" w14:textId="77777777" w:rsidR="009163AC" w:rsidRDefault="009163AC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361B2E5F" w14:textId="77777777" w:rsidR="009163AC" w:rsidRDefault="009163AC" w:rsidP="00965ADD">
            <w:pPr>
              <w:rPr>
                <w:b/>
                <w:bCs/>
              </w:rPr>
            </w:pPr>
          </w:p>
        </w:tc>
      </w:tr>
      <w:tr w:rsidR="003F27FD" w14:paraId="463C60E7" w14:textId="77777777" w:rsidTr="006C1F70">
        <w:tc>
          <w:tcPr>
            <w:tcW w:w="2574" w:type="dxa"/>
          </w:tcPr>
          <w:p w14:paraId="1A04C808" w14:textId="5216140E" w:rsidR="003F27FD" w:rsidRPr="006C1F70" w:rsidRDefault="006C1F70" w:rsidP="00965ADD">
            <w:pPr>
              <w:rPr>
                <w:sz w:val="14"/>
                <w:szCs w:val="14"/>
              </w:rPr>
            </w:pPr>
            <w:r w:rsidRPr="006C1F70">
              <w:rPr>
                <w:sz w:val="14"/>
                <w:szCs w:val="14"/>
              </w:rPr>
              <w:t>Zirkularitätskriterien sollten für bestimmte Produktaspekte gelten (z. B. Langlebigkeit, Reparierbarkeit, Recyclingfähigkeit und recycelter Inhalt)</w:t>
            </w:r>
          </w:p>
        </w:tc>
        <w:tc>
          <w:tcPr>
            <w:tcW w:w="986" w:type="dxa"/>
          </w:tcPr>
          <w:p w14:paraId="447A8B16" w14:textId="77777777" w:rsidR="003F27FD" w:rsidRDefault="003F27FD" w:rsidP="00965ADD">
            <w:pPr>
              <w:rPr>
                <w:b/>
                <w:bCs/>
              </w:rPr>
            </w:pPr>
          </w:p>
        </w:tc>
        <w:tc>
          <w:tcPr>
            <w:tcW w:w="726" w:type="dxa"/>
          </w:tcPr>
          <w:p w14:paraId="2C369CF7" w14:textId="77777777" w:rsidR="003F27FD" w:rsidRDefault="003F27FD" w:rsidP="00965ADD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46307EA1" w14:textId="77777777" w:rsidR="003F27FD" w:rsidRDefault="003F27FD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4D76CA98" w14:textId="77777777" w:rsidR="003F27FD" w:rsidRDefault="003F27FD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6146F678" w14:textId="77777777" w:rsidR="003F27FD" w:rsidRDefault="003F27FD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7A6A3DD8" w14:textId="77777777" w:rsidR="003F27FD" w:rsidRDefault="003F27FD" w:rsidP="00965ADD">
            <w:pPr>
              <w:rPr>
                <w:b/>
                <w:bCs/>
              </w:rPr>
            </w:pPr>
          </w:p>
        </w:tc>
        <w:tc>
          <w:tcPr>
            <w:tcW w:w="927" w:type="dxa"/>
          </w:tcPr>
          <w:p w14:paraId="58D38905" w14:textId="77777777" w:rsidR="003F27FD" w:rsidRDefault="003F27FD" w:rsidP="00965ADD">
            <w:pPr>
              <w:rPr>
                <w:b/>
                <w:bCs/>
              </w:rPr>
            </w:pPr>
          </w:p>
        </w:tc>
      </w:tr>
    </w:tbl>
    <w:p w14:paraId="63E80F3D" w14:textId="77777777" w:rsidR="005D4E1B" w:rsidRPr="00D86B70" w:rsidRDefault="005D4E1B" w:rsidP="00D86B70">
      <w:pPr>
        <w:rPr>
          <w:i/>
          <w:iCs/>
        </w:rPr>
      </w:pPr>
    </w:p>
    <w:p w14:paraId="637A0925" w14:textId="0496EFB6" w:rsidR="00392F7E" w:rsidRPr="00D86B70" w:rsidRDefault="00392F7E" w:rsidP="00E708E2">
      <w:pPr>
        <w:pStyle w:val="berschrift2"/>
        <w:rPr>
          <w:rFonts w:hint="eastAsia"/>
        </w:rPr>
      </w:pPr>
      <w:r w:rsidRPr="00A42C95">
        <w:t xml:space="preserve">Maßnahmen </w:t>
      </w:r>
      <w:r>
        <w:t xml:space="preserve">zur Ankurbelung des </w:t>
      </w:r>
      <w:r w:rsidRPr="00A42C95">
        <w:t>Angebot</w:t>
      </w:r>
      <w:r>
        <w:t>s</w:t>
      </w:r>
      <w:r w:rsidRPr="00A42C95">
        <w:t xml:space="preserve"> an Sekundärmaterialien </w:t>
      </w:r>
    </w:p>
    <w:p w14:paraId="358DCF90" w14:textId="5E2C5B83" w:rsidR="009D42D8" w:rsidRDefault="00E123FC" w:rsidP="007630BC">
      <w:pPr>
        <w:pStyle w:val="Listenabsatz"/>
        <w:numPr>
          <w:ilvl w:val="0"/>
          <w:numId w:val="3"/>
        </w:numPr>
      </w:pPr>
      <w:r w:rsidRPr="00DE4327">
        <w:rPr>
          <w:b/>
          <w:bCs/>
        </w:rPr>
        <w:t>Brauc</w:t>
      </w:r>
      <w:r w:rsidRPr="00E123FC">
        <w:rPr>
          <w:b/>
          <w:bCs/>
        </w:rPr>
        <w:t>ht es aus Unternehmensperspektive</w:t>
      </w:r>
      <w:r w:rsidR="00392F7E" w:rsidRPr="00E123FC">
        <w:rPr>
          <w:b/>
          <w:bCs/>
        </w:rPr>
        <w:t xml:space="preserve"> Maßnahmen, um das Angebot an wettbewerbsfähigen Sekundärrohstoffen zu erhöhen?</w:t>
      </w:r>
      <w:r w:rsidRPr="00E123FC">
        <w:rPr>
          <w:b/>
          <w:bCs/>
        </w:rPr>
        <w:t xml:space="preserve"> Welche Maßnahmen sind sinnvoll</w:t>
      </w:r>
      <w:r w:rsidR="000F7BD0">
        <w:rPr>
          <w:b/>
          <w:bCs/>
        </w:rPr>
        <w:t xml:space="preserve"> </w:t>
      </w:r>
      <w:r w:rsidR="000F7BD0" w:rsidRPr="00DE4327">
        <w:t xml:space="preserve">(z. Bsp. erhöhte Recyclingkapazitäten, schnellere Genehmigungsverfahren für Recyclinganlagen, Förderung von neuen Recyclingmethoden, Maßnahmen zur Reduzierung des Exports bestimmter Abfallströme, </w:t>
      </w:r>
      <w:r w:rsidR="00F37CD0" w:rsidRPr="00DE4327">
        <w:t>Ankurbelung der Nachfrage</w:t>
      </w:r>
      <w:r w:rsidR="004E7E40" w:rsidRPr="00DE4327">
        <w:t xml:space="preserve"> nach Sekundärmaterialien</w:t>
      </w:r>
      <w:r w:rsidR="00F37CD0" w:rsidRPr="00DE4327">
        <w:t xml:space="preserve"> </w:t>
      </w:r>
      <w:r w:rsidR="000F7BD0" w:rsidRPr="00DE4327">
        <w:t>etc.)</w:t>
      </w:r>
      <w:r w:rsidRPr="00DE4327">
        <w:t>?</w:t>
      </w:r>
    </w:p>
    <w:p w14:paraId="5F2858DF" w14:textId="77777777" w:rsidR="007630BC" w:rsidRPr="007630BC" w:rsidRDefault="007630BC" w:rsidP="007630BC">
      <w:pPr>
        <w:pStyle w:val="Listenabsatz"/>
      </w:pPr>
    </w:p>
    <w:p w14:paraId="688955E0" w14:textId="70762D9A" w:rsidR="0029425A" w:rsidRPr="00FC4BE2" w:rsidRDefault="00352BDB" w:rsidP="00FC4BE2">
      <w:pPr>
        <w:pStyle w:val="Listenabsatz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Bitte markieren sie die </w:t>
      </w:r>
      <w:r w:rsidR="00392F7E" w:rsidRPr="009D42D8">
        <w:rPr>
          <w:b/>
          <w:bCs/>
        </w:rPr>
        <w:t>Maßnahme</w:t>
      </w:r>
      <w:r>
        <w:rPr>
          <w:b/>
          <w:bCs/>
        </w:rPr>
        <w:t>n</w:t>
      </w:r>
      <w:r w:rsidR="00866BEB">
        <w:rPr>
          <w:b/>
          <w:bCs/>
        </w:rPr>
        <w:t xml:space="preserve"> zur Regulierung der Ausfuhr von Produkten und Abfallströmen</w:t>
      </w:r>
      <w:r>
        <w:rPr>
          <w:b/>
          <w:bCs/>
        </w:rPr>
        <w:t>, welche aus Unternehmenssicht priorisiert werden sollten.</w:t>
      </w:r>
      <w:r w:rsidR="0029425A">
        <w:rPr>
          <w:b/>
          <w:bCs/>
        </w:rPr>
        <w:t xml:space="preserve"> </w:t>
      </w:r>
      <w:r w:rsidR="70C25218" w:rsidRPr="000A6782">
        <w:t>(max. drei Ma</w:t>
      </w:r>
      <w:r w:rsidR="70C25218" w:rsidRPr="000A6782">
        <w:rPr>
          <w:rFonts w:hint="cs"/>
        </w:rPr>
        <w:t>ß</w:t>
      </w:r>
      <w:r w:rsidR="70C25218" w:rsidRPr="000A6782">
        <w:t>nahmen)</w:t>
      </w:r>
    </w:p>
    <w:p w14:paraId="48410220" w14:textId="74C4CA9A" w:rsidR="007630BC" w:rsidRDefault="007630BC" w:rsidP="0029425A">
      <w:pPr>
        <w:pStyle w:val="Listenabsatz"/>
        <w:numPr>
          <w:ilvl w:val="0"/>
          <w:numId w:val="9"/>
        </w:numPr>
      </w:pPr>
      <w:r>
        <w:t xml:space="preserve">Es gibt keinen Bedarf für Maßnahmen </w:t>
      </w:r>
      <w:r w:rsidRPr="007630BC">
        <w:t>zur Regulierung der Ausfuhr von Produkten und Abfallstr</w:t>
      </w:r>
      <w:r w:rsidRPr="007630BC">
        <w:rPr>
          <w:rFonts w:hint="cs"/>
        </w:rPr>
        <w:t>ö</w:t>
      </w:r>
      <w:r w:rsidRPr="007630BC">
        <w:t>men</w:t>
      </w:r>
    </w:p>
    <w:p w14:paraId="7F9093F7" w14:textId="56E2721F" w:rsidR="0029425A" w:rsidRPr="003473C9" w:rsidRDefault="00316CE2" w:rsidP="0029425A">
      <w:pPr>
        <w:pStyle w:val="Listenabsatz"/>
        <w:numPr>
          <w:ilvl w:val="0"/>
          <w:numId w:val="9"/>
        </w:numPr>
      </w:pPr>
      <w:r w:rsidRPr="003473C9">
        <w:t>Einf</w:t>
      </w:r>
      <w:r w:rsidRPr="003473C9">
        <w:rPr>
          <w:rFonts w:hint="cs"/>
        </w:rPr>
        <w:t>ü</w:t>
      </w:r>
      <w:r w:rsidRPr="003473C9">
        <w:t>hrung von Ausfuhrgeb</w:t>
      </w:r>
      <w:r w:rsidRPr="003473C9">
        <w:rPr>
          <w:rFonts w:hint="cs"/>
        </w:rPr>
        <w:t>ü</w:t>
      </w:r>
      <w:r w:rsidRPr="003473C9">
        <w:t>hren f</w:t>
      </w:r>
      <w:r w:rsidRPr="003473C9">
        <w:rPr>
          <w:rFonts w:hint="cs"/>
        </w:rPr>
        <w:t>ü</w:t>
      </w:r>
      <w:r w:rsidRPr="003473C9">
        <w:t>r bestimmte Abfallstr</w:t>
      </w:r>
      <w:r w:rsidRPr="003473C9">
        <w:rPr>
          <w:rFonts w:hint="cs"/>
        </w:rPr>
        <w:t>ö</w:t>
      </w:r>
      <w:r w:rsidRPr="003473C9">
        <w:t>me, die wichtige Rohstoffe enthalten, und Reinvestition der erzielten Einnahmen in die inl</w:t>
      </w:r>
      <w:r w:rsidRPr="003473C9">
        <w:rPr>
          <w:rFonts w:hint="cs"/>
        </w:rPr>
        <w:t>ä</w:t>
      </w:r>
      <w:r w:rsidRPr="003473C9">
        <w:t>ndische Recycling-Infrastruktur und -Technologie</w:t>
      </w:r>
    </w:p>
    <w:p w14:paraId="22900372" w14:textId="738CB8FA" w:rsidR="00316CE2" w:rsidRPr="003473C9" w:rsidRDefault="00316CE2" w:rsidP="0029425A">
      <w:pPr>
        <w:pStyle w:val="Listenabsatz"/>
        <w:numPr>
          <w:ilvl w:val="0"/>
          <w:numId w:val="9"/>
        </w:numPr>
      </w:pPr>
      <w:r w:rsidRPr="003473C9">
        <w:t>Verschärfung der Kontrollen oder Beschränkungen für die Ausfuhr von Abfällen, die kritische Rohstoffe enthalten</w:t>
      </w:r>
    </w:p>
    <w:p w14:paraId="10B56097" w14:textId="1A434367" w:rsidR="00316CE2" w:rsidRPr="003473C9" w:rsidRDefault="00316CE2" w:rsidP="0029425A">
      <w:pPr>
        <w:pStyle w:val="Listenabsatz"/>
        <w:numPr>
          <w:ilvl w:val="0"/>
          <w:numId w:val="9"/>
        </w:numPr>
      </w:pPr>
      <w:r w:rsidRPr="003473C9">
        <w:t>Verbesserung der Transparenz und der Meldepflichten für die Ausfuhr von Sekundärrohstoffen</w:t>
      </w:r>
    </w:p>
    <w:p w14:paraId="69683718" w14:textId="0B15CBDA" w:rsidR="003473C9" w:rsidRPr="003473C9" w:rsidRDefault="003473C9" w:rsidP="0029425A">
      <w:pPr>
        <w:pStyle w:val="Listenabsatz"/>
        <w:numPr>
          <w:ilvl w:val="0"/>
          <w:numId w:val="9"/>
        </w:numPr>
      </w:pPr>
      <w:r w:rsidRPr="003473C9">
        <w:lastRenderedPageBreak/>
        <w:t>Einführung weiterer regulatorischer Anforderungen (z.B. für Umweltziele) für die Ausfuhr von Sekundärrohstoffen</w:t>
      </w:r>
    </w:p>
    <w:p w14:paraId="0914BCA9" w14:textId="6BA9E753" w:rsidR="003473C9" w:rsidRPr="003473C9" w:rsidRDefault="003473C9" w:rsidP="0029425A">
      <w:pPr>
        <w:pStyle w:val="Listenabsatz"/>
        <w:numPr>
          <w:ilvl w:val="0"/>
          <w:numId w:val="9"/>
        </w:numPr>
      </w:pPr>
      <w:r w:rsidRPr="003473C9">
        <w:t>Vorrangiger Zugang zu kritischen Rohstoffen für strategische EU-Sektoren vor der Genehmigung von Ausfuhren</w:t>
      </w:r>
    </w:p>
    <w:p w14:paraId="0244736C" w14:textId="6D552465" w:rsidR="00392F7E" w:rsidRDefault="003473C9" w:rsidP="00392F7E">
      <w:pPr>
        <w:pStyle w:val="Listenabsatz"/>
        <w:numPr>
          <w:ilvl w:val="0"/>
          <w:numId w:val="9"/>
        </w:numPr>
      </w:pPr>
      <w:r w:rsidRPr="003473C9">
        <w:t>Angleichung an die Praktiken von Nicht-EU-Ländern, die die Ausfuhr wichtiger Rohstoffe beschränken, um den Aufschwung im eigenen Land zu unterstützen</w:t>
      </w:r>
    </w:p>
    <w:p w14:paraId="7F93C3EE" w14:textId="5158C301" w:rsidR="007630BC" w:rsidRDefault="007630BC" w:rsidP="00392F7E">
      <w:pPr>
        <w:pStyle w:val="Listenabsatz"/>
        <w:numPr>
          <w:ilvl w:val="0"/>
          <w:numId w:val="9"/>
        </w:numPr>
      </w:pPr>
      <w:r>
        <w:t>Exportrestriktionen von Produkten und Abfallströmen</w:t>
      </w:r>
      <w:r w:rsidR="00C424AB">
        <w:t>,</w:t>
      </w:r>
      <w:r>
        <w:t xml:space="preserve"> </w:t>
      </w:r>
      <w:r w:rsidR="00C424AB" w:rsidRPr="00C424AB">
        <w:t>die wichtige Rohstoffe enthalten</w:t>
      </w:r>
      <w:r w:rsidR="00C424AB">
        <w:t>,</w:t>
      </w:r>
      <w:r w:rsidR="00C424AB" w:rsidRPr="00C424AB">
        <w:t xml:space="preserve"> </w:t>
      </w:r>
      <w:r>
        <w:t>sind kontraproduktiv für den freien Handel und die Partnerschaften mit Drittstaaten</w:t>
      </w:r>
      <w:r w:rsidR="00C424AB">
        <w:t xml:space="preserve"> und sollten daher unterlassen werden</w:t>
      </w:r>
      <w:r>
        <w:t xml:space="preserve">. </w:t>
      </w:r>
    </w:p>
    <w:p w14:paraId="771F9E0B" w14:textId="0592D585" w:rsidR="00FC4BE2" w:rsidRPr="003473C9" w:rsidRDefault="00FC4BE2" w:rsidP="00392F7E">
      <w:pPr>
        <w:pStyle w:val="Listenabsatz"/>
        <w:numPr>
          <w:ilvl w:val="0"/>
          <w:numId w:val="9"/>
        </w:numPr>
      </w:pPr>
      <w:r>
        <w:t xml:space="preserve">Sonstige: </w:t>
      </w:r>
    </w:p>
    <w:p w14:paraId="5F38251E" w14:textId="77777777" w:rsidR="00B054A7" w:rsidRPr="003C2262" w:rsidRDefault="00B054A7" w:rsidP="003C2262">
      <w:pPr>
        <w:rPr>
          <w:i/>
          <w:iCs/>
        </w:rPr>
      </w:pPr>
    </w:p>
    <w:p w14:paraId="434544C6" w14:textId="47D3C36E" w:rsidR="00DF34BA" w:rsidRPr="00F34701" w:rsidRDefault="003C2262" w:rsidP="00E708E2">
      <w:pPr>
        <w:pStyle w:val="berschrift2"/>
        <w:rPr>
          <w:rFonts w:hint="eastAsia"/>
        </w:rPr>
      </w:pPr>
      <w:r w:rsidRPr="00F34701">
        <w:t>Abfall</w:t>
      </w:r>
      <w:r w:rsidR="00042D99" w:rsidRPr="00F34701">
        <w:t>e</w:t>
      </w:r>
      <w:r w:rsidRPr="00F34701">
        <w:t>nde-Eigenschaften</w:t>
      </w:r>
      <w:r w:rsidR="00042D99" w:rsidRPr="00F34701">
        <w:t xml:space="preserve"> und Nebenprodukte</w:t>
      </w:r>
    </w:p>
    <w:p w14:paraId="7E258C2C" w14:textId="200A305A" w:rsidR="005A7D48" w:rsidRDefault="00EC369B" w:rsidP="00094BED">
      <w:r w:rsidRPr="00EC369B">
        <w:t xml:space="preserve">In der Umweltpolitik beschreibt das </w:t>
      </w:r>
      <w:r w:rsidRPr="00EC369B">
        <w:rPr>
          <w:rFonts w:hint="cs"/>
        </w:rPr>
        <w:t>„</w:t>
      </w:r>
      <w:r w:rsidRPr="00EC369B">
        <w:t>Ende der Abfalleigenschaft</w:t>
      </w:r>
      <w:r w:rsidRPr="00EC369B">
        <w:rPr>
          <w:rFonts w:hint="cs"/>
        </w:rPr>
        <w:t>“</w:t>
      </w:r>
      <w:r w:rsidRPr="00EC369B">
        <w:t xml:space="preserve"> den rechtlichen </w:t>
      </w:r>
      <w:r w:rsidRPr="00EC369B">
        <w:rPr>
          <w:rFonts w:hint="cs"/>
        </w:rPr>
        <w:t>Ü</w:t>
      </w:r>
      <w:r w:rsidRPr="00EC369B">
        <w:t xml:space="preserve">bergang eines Materials vom Status </w:t>
      </w:r>
      <w:r w:rsidRPr="00EC369B">
        <w:rPr>
          <w:rFonts w:hint="cs"/>
        </w:rPr>
        <w:t>„</w:t>
      </w:r>
      <w:r w:rsidRPr="00EC369B">
        <w:t>Abfall</w:t>
      </w:r>
      <w:r w:rsidRPr="00EC369B">
        <w:rPr>
          <w:rFonts w:hint="cs"/>
        </w:rPr>
        <w:t>“</w:t>
      </w:r>
      <w:r w:rsidRPr="00EC369B">
        <w:t xml:space="preserve"> zu </w:t>
      </w:r>
      <w:r w:rsidRPr="00EC369B">
        <w:rPr>
          <w:rFonts w:hint="cs"/>
        </w:rPr>
        <w:t>„</w:t>
      </w:r>
      <w:r w:rsidRPr="00EC369B">
        <w:t>Nicht-Abfall</w:t>
      </w:r>
      <w:r w:rsidRPr="00EC369B">
        <w:rPr>
          <w:rFonts w:hint="cs"/>
        </w:rPr>
        <w:t>“</w:t>
      </w:r>
      <w:r w:rsidRPr="00EC369B">
        <w:t xml:space="preserve">. Damit ein Stoff nicht mehr als Abfall gilt, muss er </w:t>
      </w:r>
      <w:r w:rsidR="008034E7">
        <w:t xml:space="preserve">laut Artikel 6 der </w:t>
      </w:r>
      <w:hyperlink r:id="rId13" w:history="1">
        <w:r w:rsidR="008034E7" w:rsidRPr="00CF5905">
          <w:rPr>
            <w:rStyle w:val="Hyperlink"/>
          </w:rPr>
          <w:t>Abfallrahmenrichtlinie</w:t>
        </w:r>
      </w:hyperlink>
      <w:r w:rsidR="008034E7" w:rsidRPr="00EC369B">
        <w:t xml:space="preserve"> </w:t>
      </w:r>
      <w:r w:rsidRPr="00EC369B">
        <w:t>ein</w:t>
      </w:r>
      <w:r w:rsidR="00046F7C">
        <w:t xml:space="preserve">ige </w:t>
      </w:r>
      <w:r w:rsidR="008763FE">
        <w:t>Kriterien erfüllen</w:t>
      </w:r>
      <w:r w:rsidR="008763FE">
        <w:rPr>
          <w:rStyle w:val="Funotenzeichen"/>
        </w:rPr>
        <w:footnoteReference w:id="2"/>
      </w:r>
      <w:r w:rsidR="008763FE">
        <w:t>.</w:t>
      </w:r>
      <w:r w:rsidRPr="00EC369B">
        <w:t xml:space="preserve"> </w:t>
      </w:r>
      <w:r w:rsidR="00977B82">
        <w:t xml:space="preserve">Mit dem Ende des Abfallstatus kommen auch </w:t>
      </w:r>
      <w:r w:rsidR="005337FB">
        <w:t>rechtliche Pflichten</w:t>
      </w:r>
      <w:r w:rsidR="003D3015">
        <w:t>, b</w:t>
      </w:r>
      <w:r w:rsidR="005337FB">
        <w:t xml:space="preserve">eispielsweise </w:t>
      </w:r>
      <w:r w:rsidR="003D3015">
        <w:t xml:space="preserve">stoffrechtliche Pflichten unter REACH. </w:t>
      </w:r>
      <w:r w:rsidR="00042D99" w:rsidRPr="00042D99">
        <w:t xml:space="preserve">Nebenprodukte </w:t>
      </w:r>
      <w:r w:rsidR="0027078B">
        <w:t>sind</w:t>
      </w:r>
      <w:r w:rsidR="00042D99" w:rsidRPr="00042D99">
        <w:t xml:space="preserve"> </w:t>
      </w:r>
      <w:r w:rsidR="0027078B">
        <w:t xml:space="preserve">laut der Abfallrahmenrichtlinie </w:t>
      </w:r>
      <w:r w:rsidR="00042D99" w:rsidRPr="00042D99">
        <w:t>Stoffe oder Gegenst</w:t>
      </w:r>
      <w:r w:rsidR="00042D99" w:rsidRPr="00042D99">
        <w:rPr>
          <w:rFonts w:hint="cs"/>
        </w:rPr>
        <w:t>ä</w:t>
      </w:r>
      <w:r w:rsidR="00042D99" w:rsidRPr="00042D99">
        <w:t xml:space="preserve">nde, die in einem Herstellungsverfahren entstehen, dessen Hauptziel nicht die Herstellung dieser Stoffe </w:t>
      </w:r>
      <w:r w:rsidR="008763FE">
        <w:t>oder</w:t>
      </w:r>
      <w:r w:rsidR="00042D99" w:rsidRPr="00042D99">
        <w:t xml:space="preserve"> Gegenst</w:t>
      </w:r>
      <w:r w:rsidR="00042D99" w:rsidRPr="00042D99">
        <w:rPr>
          <w:rFonts w:hint="cs"/>
        </w:rPr>
        <w:t>ä</w:t>
      </w:r>
      <w:r w:rsidR="00042D99" w:rsidRPr="00042D99">
        <w:t xml:space="preserve">nde ist. </w:t>
      </w:r>
    </w:p>
    <w:p w14:paraId="0DBE68F0" w14:textId="53C40739" w:rsidR="001F139A" w:rsidRDefault="00FE1BFE" w:rsidP="00094BED">
      <w:r>
        <w:t xml:space="preserve">Die derzeit bestehenden Regelungen </w:t>
      </w:r>
      <w:r w:rsidR="000924B2">
        <w:t xml:space="preserve">zu Abfallende und Nebenprodukten </w:t>
      </w:r>
      <w:r w:rsidR="003C518D">
        <w:t>stellen Unternehmen vor</w:t>
      </w:r>
      <w:r>
        <w:t xml:space="preserve"> Herausforderungen. </w:t>
      </w:r>
      <w:r w:rsidR="007017B4">
        <w:t xml:space="preserve">Die Abfallende-Kriterien sind nicht </w:t>
      </w:r>
      <w:r w:rsidR="003C518D">
        <w:t xml:space="preserve">einheitlich </w:t>
      </w:r>
      <w:r w:rsidR="007017B4">
        <w:t>auf EU-Ebene geregelt</w:t>
      </w:r>
      <w:r w:rsidR="00D34C9D">
        <w:t xml:space="preserve"> und unterscheiden sich daher in den EU-Ländern</w:t>
      </w:r>
      <w:r w:rsidR="00CA0C3A">
        <w:t xml:space="preserve"> und </w:t>
      </w:r>
      <w:r w:rsidR="00D34C9D">
        <w:t>in</w:t>
      </w:r>
      <w:r w:rsidR="00355F5B">
        <w:t xml:space="preserve"> manchen Ländern, inklusive </w:t>
      </w:r>
      <w:r w:rsidR="00D34C9D">
        <w:t>Deutschland</w:t>
      </w:r>
      <w:r w:rsidR="00355F5B">
        <w:t>,</w:t>
      </w:r>
      <w:r w:rsidR="00D34C9D">
        <w:t xml:space="preserve"> </w:t>
      </w:r>
      <w:r w:rsidR="005E758D">
        <w:t>auch</w:t>
      </w:r>
      <w:r w:rsidR="00D34C9D">
        <w:t xml:space="preserve"> teilweise auf </w:t>
      </w:r>
      <w:r w:rsidR="00355F5B">
        <w:t xml:space="preserve">regionaler </w:t>
      </w:r>
      <w:r w:rsidR="00EA7D8D">
        <w:t>Ebene</w:t>
      </w:r>
      <w:r w:rsidR="00CE2BEC">
        <w:t xml:space="preserve">. </w:t>
      </w:r>
      <w:r w:rsidR="003771FB" w:rsidRPr="003771FB">
        <w:t>Unterschiede bei der Umsetzung der</w:t>
      </w:r>
      <w:r w:rsidR="003771FB">
        <w:t xml:space="preserve"> </w:t>
      </w:r>
      <w:r w:rsidR="00CE2BEC">
        <w:t>Abfall-Ende-</w:t>
      </w:r>
      <w:r w:rsidR="003771FB" w:rsidRPr="003771FB">
        <w:t>Kriterien k</w:t>
      </w:r>
      <w:r w:rsidR="003771FB" w:rsidRPr="003771FB">
        <w:rPr>
          <w:rFonts w:hint="cs"/>
        </w:rPr>
        <w:t>ö</w:t>
      </w:r>
      <w:r w:rsidR="003771FB" w:rsidRPr="003771FB">
        <w:t>nnen zu Problemen im EU-Binnenmarkt f</w:t>
      </w:r>
      <w:r w:rsidR="003771FB" w:rsidRPr="003771FB">
        <w:rPr>
          <w:rFonts w:hint="cs"/>
        </w:rPr>
        <w:t>ü</w:t>
      </w:r>
      <w:r w:rsidR="003771FB" w:rsidRPr="003771FB">
        <w:t>hren, da Materialien, die in einem Land nicht als Abfall gelten, in anderen Mitgliedstaaten unterschiedlich behandelt werden k</w:t>
      </w:r>
      <w:r w:rsidR="003771FB" w:rsidRPr="003771FB">
        <w:rPr>
          <w:rFonts w:hint="cs"/>
        </w:rPr>
        <w:t>ö</w:t>
      </w:r>
      <w:r w:rsidR="003771FB" w:rsidRPr="003771FB">
        <w:t>nnen. Dies wiederum kann zu Problemen im Zusammenhang mit dem Handel mit Sekund</w:t>
      </w:r>
      <w:r w:rsidR="003771FB" w:rsidRPr="003771FB">
        <w:rPr>
          <w:rFonts w:hint="cs"/>
        </w:rPr>
        <w:t>ä</w:t>
      </w:r>
      <w:r w:rsidR="003771FB" w:rsidRPr="003771FB">
        <w:t xml:space="preserve">rmaterialien </w:t>
      </w:r>
      <w:r w:rsidR="000A73E6">
        <w:t xml:space="preserve">führen. </w:t>
      </w:r>
      <w:r w:rsidR="00CE2BEC">
        <w:t>Unternehmen müssen sich über die unterschiedlichen Regeln informieren und die Compliance sicherstellen.</w:t>
      </w:r>
      <w:r w:rsidR="00F63E9C">
        <w:t xml:space="preserve"> </w:t>
      </w:r>
    </w:p>
    <w:p w14:paraId="4B0E5994" w14:textId="306FBC0F" w:rsidR="007D24A2" w:rsidRPr="00E05DD9" w:rsidRDefault="008A6B7E" w:rsidP="00094BED">
      <w:r w:rsidRPr="00CF7929">
        <w:t xml:space="preserve">Das Abfallende wird </w:t>
      </w:r>
      <w:r w:rsidR="00CF7929" w:rsidRPr="00CF7929">
        <w:t xml:space="preserve">zudem </w:t>
      </w:r>
      <w:r w:rsidRPr="00CF7929">
        <w:t xml:space="preserve">durch immer strengere Grenzwerte im Stoffrecht erschwert. </w:t>
      </w:r>
      <w:r w:rsidR="001F139A">
        <w:t>Recyclingprodukte unterliegen gem</w:t>
      </w:r>
      <w:r w:rsidR="001F139A">
        <w:rPr>
          <w:rFonts w:hint="cs"/>
        </w:rPr>
        <w:t>äß</w:t>
      </w:r>
      <w:r w:rsidR="001F139A">
        <w:t xml:space="preserve"> der REACH-Verordnung den gleichen Informationspflichten wie Neuprodukte. Die Informationsweitergabe </w:t>
      </w:r>
      <w:r w:rsidR="001F139A">
        <w:rPr>
          <w:rFonts w:hint="cs"/>
        </w:rPr>
        <w:t>ü</w:t>
      </w:r>
      <w:r w:rsidR="001F139A">
        <w:t>ber SVHC</w:t>
      </w:r>
      <w:r w:rsidR="000924B2">
        <w:rPr>
          <w:rStyle w:val="Funotenzeichen"/>
        </w:rPr>
        <w:footnoteReference w:id="3"/>
      </w:r>
      <w:r w:rsidR="001F139A">
        <w:t>- Stoffe in Produkten ist f</w:t>
      </w:r>
      <w:r w:rsidR="001F139A">
        <w:rPr>
          <w:rFonts w:hint="cs"/>
        </w:rPr>
        <w:t>ü</w:t>
      </w:r>
      <w:r w:rsidR="001F139A">
        <w:t>r die Hersteller von Recyclingprodukten jedoch schwierig bis technisch unm</w:t>
      </w:r>
      <w:r w:rsidR="001F139A">
        <w:rPr>
          <w:rFonts w:hint="cs"/>
        </w:rPr>
        <w:t>ö</w:t>
      </w:r>
      <w:r w:rsidR="001F139A">
        <w:t>glich und w</w:t>
      </w:r>
      <w:r w:rsidR="001F139A">
        <w:rPr>
          <w:rFonts w:hint="cs"/>
        </w:rPr>
        <w:t>ä</w:t>
      </w:r>
      <w:r w:rsidR="001F139A">
        <w:t>re mit erheblichen Kosten und Aufwendungen f</w:t>
      </w:r>
      <w:r w:rsidR="001F139A">
        <w:rPr>
          <w:rFonts w:hint="cs"/>
        </w:rPr>
        <w:t>ü</w:t>
      </w:r>
      <w:r w:rsidR="001F139A">
        <w:t xml:space="preserve">r Analysen verbunden. </w:t>
      </w:r>
    </w:p>
    <w:p w14:paraId="6547C362" w14:textId="0A9E4F07" w:rsidR="00297EF4" w:rsidRPr="00A8047B" w:rsidRDefault="001F61A9" w:rsidP="00A8047B">
      <w:pPr>
        <w:pStyle w:val="Listenabsatz"/>
        <w:numPr>
          <w:ilvl w:val="0"/>
          <w:numId w:val="3"/>
        </w:numPr>
        <w:rPr>
          <w:b/>
          <w:bCs/>
        </w:rPr>
      </w:pPr>
      <w:r w:rsidRPr="00A8047B">
        <w:rPr>
          <w:b/>
          <w:bCs/>
        </w:rPr>
        <w:t xml:space="preserve">Welche weiteren Probleme ergeben sich </w:t>
      </w:r>
      <w:r w:rsidR="00297EF4" w:rsidRPr="00A8047B">
        <w:rPr>
          <w:b/>
          <w:bCs/>
        </w:rPr>
        <w:t xml:space="preserve">für Unternehmen </w:t>
      </w:r>
      <w:r w:rsidRPr="00A8047B">
        <w:rPr>
          <w:b/>
          <w:bCs/>
        </w:rPr>
        <w:t xml:space="preserve">aus den bestehenden Regelungen zu Abfall-Ende Eigenschaften? </w:t>
      </w:r>
      <w:r w:rsidR="00DD49C2" w:rsidRPr="00A8047B">
        <w:rPr>
          <w:b/>
          <w:bCs/>
        </w:rPr>
        <w:t xml:space="preserve">Bringen Sie gerne auch konkrete Unternehmensbeispiele ein. </w:t>
      </w:r>
    </w:p>
    <w:p w14:paraId="7FD76B4F" w14:textId="77777777" w:rsidR="000E7194" w:rsidRPr="000E7194" w:rsidRDefault="000E7194" w:rsidP="000E7194">
      <w:pPr>
        <w:rPr>
          <w:i/>
          <w:iCs/>
        </w:rPr>
      </w:pPr>
    </w:p>
    <w:p w14:paraId="61353B02" w14:textId="5F464F77" w:rsidR="000E7194" w:rsidRPr="00A8047B" w:rsidRDefault="00CD223A" w:rsidP="00A8047B">
      <w:pPr>
        <w:pStyle w:val="Listenabsatz"/>
        <w:numPr>
          <w:ilvl w:val="0"/>
          <w:numId w:val="3"/>
        </w:numPr>
        <w:rPr>
          <w:b/>
          <w:bCs/>
        </w:rPr>
      </w:pPr>
      <w:r w:rsidRPr="00A8047B">
        <w:rPr>
          <w:b/>
          <w:bCs/>
        </w:rPr>
        <w:t xml:space="preserve">Ergeben sich für Unternehmen Probleme durch die bestehenden Regelungen für </w:t>
      </w:r>
      <w:r w:rsidRPr="000A6782">
        <w:rPr>
          <w:b/>
          <w:u w:val="single"/>
        </w:rPr>
        <w:t>Nebenprodukte</w:t>
      </w:r>
      <w:r w:rsidRPr="00A8047B">
        <w:rPr>
          <w:b/>
          <w:bCs/>
        </w:rPr>
        <w:t xml:space="preserve">? </w:t>
      </w:r>
    </w:p>
    <w:p w14:paraId="2E8D31FC" w14:textId="77777777" w:rsidR="000E7194" w:rsidRPr="000E7194" w:rsidRDefault="000E7194" w:rsidP="000E7194">
      <w:pPr>
        <w:rPr>
          <w:i/>
          <w:iCs/>
        </w:rPr>
      </w:pPr>
    </w:p>
    <w:p w14:paraId="22B97F5A" w14:textId="1FA071A0" w:rsidR="00654686" w:rsidRPr="00654686" w:rsidRDefault="00654686" w:rsidP="00654686">
      <w:pPr>
        <w:pStyle w:val="Listenabsatz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Mit welchen</w:t>
      </w:r>
      <w:r w:rsidR="00623FCD" w:rsidRPr="00A8047B">
        <w:rPr>
          <w:b/>
          <w:bCs/>
        </w:rPr>
        <w:t xml:space="preserve"> </w:t>
      </w:r>
      <w:r>
        <w:rPr>
          <w:b/>
          <w:bCs/>
        </w:rPr>
        <w:t xml:space="preserve">konkreten </w:t>
      </w:r>
      <w:r w:rsidR="00623FCD" w:rsidRPr="00A8047B">
        <w:rPr>
          <w:b/>
          <w:bCs/>
        </w:rPr>
        <w:t>Reformen</w:t>
      </w:r>
      <w:r>
        <w:rPr>
          <w:b/>
          <w:bCs/>
        </w:rPr>
        <w:t xml:space="preserve"> sollte </w:t>
      </w:r>
      <w:r w:rsidR="00623FCD" w:rsidRPr="00A8047B">
        <w:rPr>
          <w:b/>
          <w:bCs/>
        </w:rPr>
        <w:t xml:space="preserve">das Erreichen des Status </w:t>
      </w:r>
      <w:r w:rsidR="00623FCD" w:rsidRPr="00A8047B">
        <w:rPr>
          <w:rFonts w:hint="cs"/>
          <w:b/>
          <w:bCs/>
        </w:rPr>
        <w:t>„</w:t>
      </w:r>
      <w:r w:rsidR="00623FCD" w:rsidRPr="00A8047B">
        <w:rPr>
          <w:b/>
          <w:bCs/>
        </w:rPr>
        <w:t>Ende der Abf</w:t>
      </w:r>
      <w:r w:rsidR="00623FCD" w:rsidRPr="00A8047B">
        <w:rPr>
          <w:rFonts w:hint="cs"/>
          <w:b/>
          <w:bCs/>
        </w:rPr>
        <w:t>ä</w:t>
      </w:r>
      <w:r w:rsidR="00623FCD" w:rsidRPr="00A8047B">
        <w:rPr>
          <w:b/>
          <w:bCs/>
        </w:rPr>
        <w:t xml:space="preserve">lle und </w:t>
      </w:r>
      <w:r w:rsidR="0084047B" w:rsidRPr="00A8047B">
        <w:rPr>
          <w:b/>
          <w:bCs/>
        </w:rPr>
        <w:t>Nebenprodukte</w:t>
      </w:r>
      <w:r w:rsidR="00623FCD" w:rsidRPr="00A8047B">
        <w:rPr>
          <w:rFonts w:hint="cs"/>
          <w:b/>
          <w:bCs/>
        </w:rPr>
        <w:t>“</w:t>
      </w:r>
      <w:r w:rsidR="00623FCD" w:rsidRPr="00A8047B">
        <w:rPr>
          <w:b/>
          <w:bCs/>
        </w:rPr>
        <w:t xml:space="preserve"> erleichter</w:t>
      </w:r>
      <w:r>
        <w:rPr>
          <w:b/>
          <w:bCs/>
        </w:rPr>
        <w:t>t werden</w:t>
      </w:r>
      <w:r w:rsidR="00623FCD" w:rsidRPr="00A8047B">
        <w:rPr>
          <w:b/>
          <w:bCs/>
        </w:rPr>
        <w:t>?</w:t>
      </w:r>
      <w:r w:rsidR="2B2B56E1" w:rsidRPr="01FD2823">
        <w:rPr>
          <w:b/>
          <w:bCs/>
        </w:rPr>
        <w:t xml:space="preserve"> (</w:t>
      </w:r>
      <w:r w:rsidR="2B2B56E1" w:rsidRPr="000A6782">
        <w:t xml:space="preserve">max. </w:t>
      </w:r>
      <w:r w:rsidR="2B2B56E1">
        <w:t>d</w:t>
      </w:r>
      <w:r w:rsidR="2B2B56E1" w:rsidRPr="000A6782">
        <w:t>rei Ausw</w:t>
      </w:r>
      <w:r w:rsidR="2B2B56E1" w:rsidRPr="000A6782">
        <w:rPr>
          <w:rFonts w:hint="cs"/>
        </w:rPr>
        <w:t>ä</w:t>
      </w:r>
      <w:r w:rsidR="2B2B56E1" w:rsidRPr="000A6782">
        <w:t>hlen)</w:t>
      </w:r>
    </w:p>
    <w:p w14:paraId="5448BB9E" w14:textId="16498CCD" w:rsidR="0031029B" w:rsidRDefault="0031029B" w:rsidP="0031029B">
      <w:pPr>
        <w:pStyle w:val="Listenabsatz"/>
        <w:numPr>
          <w:ilvl w:val="0"/>
          <w:numId w:val="9"/>
        </w:numPr>
      </w:pPr>
      <w:r w:rsidRPr="00BA6C20">
        <w:t>Weiterentwicklung</w:t>
      </w:r>
      <w:r w:rsidR="0040110A">
        <w:t>/Konkretisierung</w:t>
      </w:r>
      <w:r w:rsidRPr="00BA6C20">
        <w:t xml:space="preserve"> der </w:t>
      </w:r>
      <w:r>
        <w:t xml:space="preserve">allgemein gültigen </w:t>
      </w:r>
      <w:r w:rsidRPr="00BA6C20">
        <w:t>Bestimmungen für die End-of-Waste- und Nebenprodukt-Kriterien in der Abfallrahmenrichtlinie</w:t>
      </w:r>
      <w:r>
        <w:t xml:space="preserve"> </w:t>
      </w:r>
    </w:p>
    <w:p w14:paraId="58E35416" w14:textId="5FE96A9E" w:rsidR="00654686" w:rsidRDefault="00AC5A5E" w:rsidP="00654686">
      <w:pPr>
        <w:pStyle w:val="Listenabsatz"/>
        <w:numPr>
          <w:ilvl w:val="0"/>
          <w:numId w:val="9"/>
        </w:numPr>
      </w:pPr>
      <w:r w:rsidRPr="00AC5A5E">
        <w:t xml:space="preserve">Entwicklung </w:t>
      </w:r>
      <w:r w:rsidR="00695197">
        <w:t xml:space="preserve">spezifischer </w:t>
      </w:r>
      <w:r w:rsidRPr="00AC5A5E">
        <w:t>EU-weiter Kriterien f</w:t>
      </w:r>
      <w:r w:rsidRPr="00AC5A5E">
        <w:rPr>
          <w:rFonts w:hint="cs"/>
        </w:rPr>
        <w:t>ü</w:t>
      </w:r>
      <w:r w:rsidRPr="00AC5A5E">
        <w:t xml:space="preserve">r das Ende von </w:t>
      </w:r>
      <w:r w:rsidR="0040110A">
        <w:t>bestimmten Abfallarten</w:t>
      </w:r>
      <w:r w:rsidRPr="00AC5A5E">
        <w:t xml:space="preserve"> und Nebenprodukten </w:t>
      </w:r>
    </w:p>
    <w:p w14:paraId="1A3D482C" w14:textId="61DC1507" w:rsidR="00AC5A5E" w:rsidRDefault="00BA6C20" w:rsidP="00654686">
      <w:pPr>
        <w:pStyle w:val="Listenabsatz"/>
        <w:numPr>
          <w:ilvl w:val="0"/>
          <w:numId w:val="9"/>
        </w:numPr>
      </w:pPr>
      <w:r w:rsidRPr="00BA6C20">
        <w:t>Keine subnationalen/lokalen Kriterien für das Ende von Abfällen und Nebenprodukten mehr zulassen</w:t>
      </w:r>
    </w:p>
    <w:p w14:paraId="681EC6BA" w14:textId="5828A707" w:rsidR="00BA6C20" w:rsidRDefault="00BA6C20" w:rsidP="00654686">
      <w:pPr>
        <w:pStyle w:val="Listenabsatz"/>
        <w:numPr>
          <w:ilvl w:val="0"/>
          <w:numId w:val="9"/>
        </w:numPr>
      </w:pPr>
      <w:r w:rsidRPr="00BA6C20">
        <w:t>Ermöglichung der gegenseitigen Anerkennung der nationalen Kriterien für das Ende der Abfalleigenschaft und der Nebenprodukte</w:t>
      </w:r>
    </w:p>
    <w:p w14:paraId="5FF2E03D" w14:textId="03915EE7" w:rsidR="002E63B0" w:rsidRDefault="002E63B0" w:rsidP="00654686">
      <w:pPr>
        <w:pStyle w:val="Listenabsatz"/>
        <w:numPr>
          <w:ilvl w:val="0"/>
          <w:numId w:val="9"/>
        </w:numPr>
      </w:pPr>
      <w:r w:rsidRPr="000E5739">
        <w:t>Informationspflichten nach Artikel 33 der REACH-Verordnung f</w:t>
      </w:r>
      <w:r w:rsidRPr="000E5739">
        <w:rPr>
          <w:rFonts w:hint="cs"/>
        </w:rPr>
        <w:t>ü</w:t>
      </w:r>
      <w:r w:rsidRPr="000E5739">
        <w:t>r Recyclingmaterialien in Produkten, zu vereinfachen, auch wenn dadurch die Informationsdichte sinkt</w:t>
      </w:r>
      <w:r>
        <w:t>.</w:t>
      </w:r>
    </w:p>
    <w:p w14:paraId="2D3BBF0B" w14:textId="3BD8232F" w:rsidR="00580215" w:rsidRDefault="00704009" w:rsidP="00580215">
      <w:pPr>
        <w:pStyle w:val="Listenabsatz"/>
        <w:numPr>
          <w:ilvl w:val="0"/>
          <w:numId w:val="9"/>
        </w:numPr>
      </w:pPr>
      <w:r>
        <w:t xml:space="preserve">Sonstige: </w:t>
      </w:r>
    </w:p>
    <w:p w14:paraId="10C671F1" w14:textId="77777777" w:rsidR="00906AAC" w:rsidRDefault="00906AAC" w:rsidP="00473251">
      <w:pPr>
        <w:pStyle w:val="Listenabsatz"/>
      </w:pPr>
    </w:p>
    <w:p w14:paraId="55464459" w14:textId="7A93A345" w:rsidR="00835DF9" w:rsidRPr="004B2405" w:rsidRDefault="00835DF9" w:rsidP="00E708E2">
      <w:pPr>
        <w:pStyle w:val="berschrift2"/>
        <w:rPr>
          <w:rFonts w:hint="eastAsia"/>
        </w:rPr>
      </w:pPr>
      <w:r w:rsidRPr="004B2405">
        <w:t>Erweiterte Herstellerverantwortung</w:t>
      </w:r>
    </w:p>
    <w:p w14:paraId="3BB26A7A" w14:textId="77777777" w:rsidR="009A210C" w:rsidRDefault="00384F31" w:rsidP="00835DF9">
      <w:r w:rsidRPr="00384F31">
        <w:t xml:space="preserve">Die Erweiterte Herstellerverantwortung (EPR) ist ein umweltpolitisches Prinzip, das Hersteller von Produkten dazu verpflichtet, sich an der Entsorgung und dem Recycling ihrer Produkte zu beteiligen. </w:t>
      </w:r>
      <w:r w:rsidR="00585A90" w:rsidRPr="00426C2B">
        <w:t>Die Einhaltung der erweiterten Herstellerverantwortung f</w:t>
      </w:r>
      <w:r w:rsidR="00585A90" w:rsidRPr="00426C2B">
        <w:rPr>
          <w:rFonts w:hint="cs"/>
        </w:rPr>
        <w:t>ü</w:t>
      </w:r>
      <w:r w:rsidR="00585A90" w:rsidRPr="00426C2B">
        <w:t>r unterschiedliche Produktkategorien stellt f</w:t>
      </w:r>
      <w:r w:rsidR="00585A90" w:rsidRPr="00426C2B">
        <w:rPr>
          <w:rFonts w:hint="cs"/>
        </w:rPr>
        <w:t>ü</w:t>
      </w:r>
      <w:r w:rsidR="00585A90" w:rsidRPr="00426C2B">
        <w:t xml:space="preserve">r viele Unternehmen, vor allem KMU und international agierende Unternehmen, </w:t>
      </w:r>
      <w:r w:rsidR="00585A90">
        <w:t xml:space="preserve">jedoch </w:t>
      </w:r>
      <w:r w:rsidR="00585A90" w:rsidRPr="00426C2B">
        <w:t>hohe b</w:t>
      </w:r>
      <w:r w:rsidR="00585A90" w:rsidRPr="00426C2B">
        <w:rPr>
          <w:rFonts w:hint="cs"/>
        </w:rPr>
        <w:t>ü</w:t>
      </w:r>
      <w:r w:rsidR="00585A90" w:rsidRPr="00426C2B">
        <w:t xml:space="preserve">rokratische Kosten und ein Binnenmarkthindernis dar. </w:t>
      </w:r>
    </w:p>
    <w:p w14:paraId="0EF1753B" w14:textId="1D5410D9" w:rsidR="00A116F7" w:rsidRDefault="2C0FB814" w:rsidP="00A116F7">
      <w:r>
        <w:t>Wichtig</w:t>
      </w:r>
      <w:r w:rsidR="7E6748B3">
        <w:t>e</w:t>
      </w:r>
      <w:r w:rsidR="7AAABD82">
        <w:t xml:space="preserve"> Vereinfachungen</w:t>
      </w:r>
      <w:r>
        <w:t xml:space="preserve"> wäre</w:t>
      </w:r>
      <w:r w:rsidR="5829A92B">
        <w:t>n</w:t>
      </w:r>
      <w:r w:rsidR="001370B0" w:rsidRPr="006F38A9">
        <w:t xml:space="preserve"> aus Sicht der Unternehmen</w:t>
      </w:r>
      <w:r w:rsidR="00426C2B" w:rsidRPr="006F38A9">
        <w:t>, dass Registrierungspflichten einmalig europaweit und unb</w:t>
      </w:r>
      <w:r w:rsidR="00426C2B" w:rsidRPr="006F38A9">
        <w:rPr>
          <w:rFonts w:hint="cs"/>
        </w:rPr>
        <w:t>ü</w:t>
      </w:r>
      <w:r w:rsidR="00426C2B" w:rsidRPr="006F38A9">
        <w:t>rokratisch auf einer EU-weiten Plattform durchgef</w:t>
      </w:r>
      <w:r w:rsidR="00426C2B" w:rsidRPr="006F38A9">
        <w:rPr>
          <w:rFonts w:hint="cs"/>
        </w:rPr>
        <w:t>ü</w:t>
      </w:r>
      <w:r w:rsidR="00426C2B" w:rsidRPr="006F38A9">
        <w:t>hrt werden k</w:t>
      </w:r>
      <w:r w:rsidR="00426C2B" w:rsidRPr="006F38A9">
        <w:rPr>
          <w:rFonts w:hint="cs"/>
        </w:rPr>
        <w:t>ö</w:t>
      </w:r>
      <w:r w:rsidR="00426C2B" w:rsidRPr="006F38A9">
        <w:t>nnen. Zudem w</w:t>
      </w:r>
      <w:r w:rsidR="00426C2B" w:rsidRPr="006F38A9">
        <w:rPr>
          <w:rFonts w:hint="cs"/>
        </w:rPr>
        <w:t>ä</w:t>
      </w:r>
      <w:r w:rsidR="00426C2B" w:rsidRPr="006F38A9">
        <w:t>re es eine Erleichterung, wenn die vorgegebenen Kennzeichnungspflichten in den einzelnen L</w:t>
      </w:r>
      <w:r w:rsidR="00426C2B" w:rsidRPr="006F38A9">
        <w:rPr>
          <w:rFonts w:hint="cs"/>
        </w:rPr>
        <w:t>ä</w:t>
      </w:r>
      <w:r w:rsidR="00426C2B" w:rsidRPr="006F38A9">
        <w:t xml:space="preserve">ndern nicht </w:t>
      </w:r>
      <w:r w:rsidR="00426C2B" w:rsidRPr="006F38A9">
        <w:rPr>
          <w:rFonts w:hint="cs"/>
        </w:rPr>
        <w:t>ü</w:t>
      </w:r>
      <w:r w:rsidR="00426C2B" w:rsidRPr="006F38A9">
        <w:t>ber die Vorgaben der Verordnungen hinaus gehen, sondern ein europaweiter Standard gelten w</w:t>
      </w:r>
      <w:r w:rsidR="00426C2B" w:rsidRPr="006F38A9">
        <w:rPr>
          <w:rFonts w:hint="cs"/>
        </w:rPr>
        <w:t>ü</w:t>
      </w:r>
      <w:r w:rsidR="00426C2B" w:rsidRPr="006F38A9">
        <w:t>rde</w:t>
      </w:r>
      <w:r w:rsidR="00390491" w:rsidRPr="006F38A9">
        <w:t xml:space="preserve">. </w:t>
      </w:r>
      <w:r w:rsidR="00810F49">
        <w:t>D</w:t>
      </w:r>
      <w:r w:rsidR="00810F49" w:rsidRPr="00810F49">
        <w:t xml:space="preserve">as Verursacherprinzip </w:t>
      </w:r>
      <w:r w:rsidR="00810F49">
        <w:t xml:space="preserve">sollte </w:t>
      </w:r>
      <w:r w:rsidR="00810F49" w:rsidRPr="00810F49">
        <w:t>nicht unbegrenzt entlang der gesamten Wertsch</w:t>
      </w:r>
      <w:r w:rsidR="00810F49" w:rsidRPr="00810F49">
        <w:rPr>
          <w:rFonts w:hint="cs"/>
        </w:rPr>
        <w:t>ö</w:t>
      </w:r>
      <w:r w:rsidR="00810F49" w:rsidRPr="00810F49">
        <w:t>pfungskette ausgedehnt, sondern weiterhin auf den Umgang mit dem Endprodukt begrenzt werden.</w:t>
      </w:r>
      <w:r w:rsidR="00810F49">
        <w:t xml:space="preserve"> </w:t>
      </w:r>
      <w:r w:rsidR="00426C2B" w:rsidRPr="006F38A9">
        <w:t>Eine Reduzierung der Meldepflichten auf maximal einmal pro Jahr w</w:t>
      </w:r>
      <w:r w:rsidR="00426C2B" w:rsidRPr="006F38A9">
        <w:rPr>
          <w:rFonts w:hint="cs"/>
        </w:rPr>
        <w:t>ä</w:t>
      </w:r>
      <w:r w:rsidR="00426C2B" w:rsidRPr="006F38A9">
        <w:t xml:space="preserve">re aus Sicht der gewerblichen Wirtschaft positiv zu beurteilen. </w:t>
      </w:r>
      <w:r w:rsidR="00655D06" w:rsidRPr="006F38A9">
        <w:t>Die Pflicht zu Bevollm</w:t>
      </w:r>
      <w:r w:rsidR="00655D06" w:rsidRPr="006F38A9">
        <w:rPr>
          <w:rFonts w:hint="cs"/>
        </w:rPr>
        <w:t>ä</w:t>
      </w:r>
      <w:r w:rsidR="00655D06" w:rsidRPr="006F38A9">
        <w:t>chtigten in den unterschiedlichen L</w:t>
      </w:r>
      <w:r w:rsidR="00655D06" w:rsidRPr="006F38A9">
        <w:rPr>
          <w:rFonts w:hint="cs"/>
        </w:rPr>
        <w:t>ä</w:t>
      </w:r>
      <w:r w:rsidR="00655D06" w:rsidRPr="006F38A9">
        <w:t>ndern, in denen das Unternehmen operiert, sollte abgeschafft werden.</w:t>
      </w:r>
      <w:r w:rsidR="00D861AC" w:rsidRPr="006F38A9">
        <w:t xml:space="preserve"> </w:t>
      </w:r>
      <w:r w:rsidR="72F3699D">
        <w:t xml:space="preserve">Eine große Erleichterung wäre zudem die Einführung von Bagatellgrenzen </w:t>
      </w:r>
      <w:commentRangeStart w:id="0"/>
      <w:r w:rsidR="72F3699D" w:rsidRPr="01FD2823">
        <w:rPr>
          <w:highlight w:val="yellow"/>
        </w:rPr>
        <w:t>(Bsp. 10-30 Produkte pro Jahr und Land als Bagatellgrenze).</w:t>
      </w:r>
      <w:commentRangeEnd w:id="0"/>
      <w:r w:rsidR="001370B0">
        <w:rPr>
          <w:rStyle w:val="Kommentarzeichen"/>
        </w:rPr>
        <w:commentReference w:id="0"/>
      </w:r>
      <w:r w:rsidR="00A116F7" w:rsidRPr="00845B02">
        <w:t>Die Gebühren für die erweiterte Herstellerverantwortung sollten in Abhängigkeit von der Kreislauffähigkeit der entsprechenden Produkte angepasst werden (niedriger oder höher).</w:t>
      </w:r>
      <w:r w:rsidR="00A116F7">
        <w:t xml:space="preserve"> Zudem braucht es </w:t>
      </w:r>
      <w:r w:rsidR="00A116F7" w:rsidRPr="0091563F">
        <w:t>Transparenz darüber, wie die Gebühren festgelegt</w:t>
      </w:r>
      <w:r w:rsidR="00A116F7">
        <w:t xml:space="preserve"> werden</w:t>
      </w:r>
      <w:r w:rsidR="00A116F7" w:rsidRPr="0091563F">
        <w:t xml:space="preserve"> </w:t>
      </w:r>
      <w:r w:rsidR="00A116F7">
        <w:t>und wofür das Geld</w:t>
      </w:r>
      <w:r w:rsidR="00A116F7" w:rsidRPr="0091563F">
        <w:t xml:space="preserve"> verwendet </w:t>
      </w:r>
      <w:r w:rsidR="00A116F7">
        <w:t xml:space="preserve">wird. </w:t>
      </w:r>
    </w:p>
    <w:p w14:paraId="0D1955EF" w14:textId="1CEDEFB0" w:rsidR="00A53BCB" w:rsidRPr="00051DE4" w:rsidRDefault="00A53BCB" w:rsidP="00A53BCB"/>
    <w:p w14:paraId="23E0F53C" w14:textId="14DF34AA" w:rsidR="004E1F3F" w:rsidRPr="0068564C" w:rsidRDefault="00723661" w:rsidP="004E1F3F">
      <w:pPr>
        <w:pStyle w:val="Listenabsatz"/>
        <w:numPr>
          <w:ilvl w:val="0"/>
          <w:numId w:val="3"/>
        </w:numPr>
        <w:rPr>
          <w:b/>
          <w:bCs/>
        </w:rPr>
      </w:pPr>
      <w:r w:rsidRPr="00235E01">
        <w:rPr>
          <w:b/>
          <w:bCs/>
        </w:rPr>
        <w:t>Gibt es noch weitere</w:t>
      </w:r>
      <w:r w:rsidR="009379BE" w:rsidRPr="00235E01">
        <w:rPr>
          <w:b/>
          <w:bCs/>
        </w:rPr>
        <w:t>, im obigen Text nicht genannte Probleme</w:t>
      </w:r>
      <w:r w:rsidRPr="00235E01">
        <w:rPr>
          <w:b/>
          <w:bCs/>
        </w:rPr>
        <w:t>, welche sich für Unternehmen durch die erweiterte Herstellerverantwortung ergeben?</w:t>
      </w:r>
      <w:r w:rsidR="00A116F7" w:rsidRPr="00235E01">
        <w:rPr>
          <w:b/>
          <w:bCs/>
        </w:rPr>
        <w:t xml:space="preserve"> Haben Sie zur bestehenden </w:t>
      </w:r>
      <w:r w:rsidR="009A210C">
        <w:rPr>
          <w:b/>
          <w:bCs/>
        </w:rPr>
        <w:t>DIHK-</w:t>
      </w:r>
      <w:r w:rsidR="00A116F7" w:rsidRPr="00235E01">
        <w:rPr>
          <w:b/>
          <w:bCs/>
        </w:rPr>
        <w:t>Positionierung zur erweiterten Herstellerverantwortung Ergänzungen oder Anmerkungen?</w:t>
      </w:r>
      <w:r w:rsidR="0122F191" w:rsidRPr="000A6782">
        <w:t xml:space="preserve"> (auch stichwortartig</w:t>
      </w:r>
      <w:r w:rsidR="009A210C">
        <w:t xml:space="preserve"> oder direkt oben im Text</w:t>
      </w:r>
      <w:r w:rsidR="0122F191" w:rsidRPr="000A6782">
        <w:t>)</w:t>
      </w:r>
    </w:p>
    <w:p w14:paraId="1929F1A2" w14:textId="77777777" w:rsidR="009B698F" w:rsidRDefault="009B698F" w:rsidP="007C158B">
      <w:pPr>
        <w:rPr>
          <w:b/>
          <w:bCs/>
          <w:u w:val="single"/>
        </w:rPr>
      </w:pPr>
    </w:p>
    <w:p w14:paraId="0D14E887" w14:textId="77777777" w:rsidR="007B02AD" w:rsidRDefault="007B02AD" w:rsidP="007C158B">
      <w:pPr>
        <w:rPr>
          <w:b/>
          <w:bCs/>
          <w:u w:val="single"/>
        </w:rPr>
      </w:pPr>
    </w:p>
    <w:p w14:paraId="60B648A5" w14:textId="69B67EC3" w:rsidR="00CE79FD" w:rsidRPr="007C158B" w:rsidRDefault="00C17D73" w:rsidP="00E708E2">
      <w:pPr>
        <w:pStyle w:val="berschrift2"/>
        <w:rPr>
          <w:rFonts w:hint="eastAsia"/>
        </w:rPr>
      </w:pPr>
      <w:r w:rsidRPr="007C158B">
        <w:lastRenderedPageBreak/>
        <w:t>Regelungen für elektrischen und elektronischen Abfall (WEEE)</w:t>
      </w:r>
    </w:p>
    <w:p w14:paraId="03C8177A" w14:textId="63712F2B" w:rsidR="008B2249" w:rsidRDefault="00614436" w:rsidP="008B2249">
      <w:r w:rsidRPr="00F3671C">
        <w:t xml:space="preserve">Der Circular Economy Act wird </w:t>
      </w:r>
      <w:r w:rsidR="00621079" w:rsidRPr="00F3671C">
        <w:t xml:space="preserve">laut EU-Kommission </w:t>
      </w:r>
      <w:r w:rsidRPr="00F3671C">
        <w:t xml:space="preserve">auch </w:t>
      </w:r>
      <w:r w:rsidR="00EA4C2C">
        <w:t xml:space="preserve">mit </w:t>
      </w:r>
      <w:r w:rsidR="00F3671C" w:rsidRPr="00F3671C">
        <w:t>eine</w:t>
      </w:r>
      <w:r w:rsidR="00EA4C2C">
        <w:t>r</w:t>
      </w:r>
      <w:r w:rsidR="00F3671C" w:rsidRPr="00F3671C">
        <w:t xml:space="preserve"> Über</w:t>
      </w:r>
      <w:r w:rsidR="00F3671C">
        <w:t xml:space="preserve">arbeitung der derzeit geltenden Regelungen für </w:t>
      </w:r>
      <w:r w:rsidR="00C26C8C">
        <w:t>elektrischen</w:t>
      </w:r>
      <w:r w:rsidR="00F3671C">
        <w:t xml:space="preserve"> und elektronischen Abfall </w:t>
      </w:r>
      <w:r w:rsidR="00EA4C2C">
        <w:t>(</w:t>
      </w:r>
      <w:r w:rsidR="00EA4C2C" w:rsidRPr="00EA4C2C">
        <w:t xml:space="preserve">Waste Electrical and Electronic Equipment </w:t>
      </w:r>
      <w:r w:rsidR="00EA4C2C">
        <w:t xml:space="preserve">- WEEE) einhergehen. </w:t>
      </w:r>
      <w:r w:rsidR="003D7621">
        <w:t xml:space="preserve">Im Juli präsentierte die EU-Kommission die </w:t>
      </w:r>
      <w:r w:rsidR="00C26C8C">
        <w:t xml:space="preserve">Ergebnisse der </w:t>
      </w:r>
      <w:r w:rsidR="003D7621">
        <w:t>Evaluierung der WEEE-</w:t>
      </w:r>
      <w:r w:rsidR="00C26C8C">
        <w:t>Richtlinie</w:t>
      </w:r>
      <w:r w:rsidR="003A5398">
        <w:rPr>
          <w:rStyle w:val="Funotenzeichen"/>
        </w:rPr>
        <w:footnoteReference w:id="4"/>
      </w:r>
      <w:r w:rsidR="00C26C8C">
        <w:t xml:space="preserve">. </w:t>
      </w:r>
      <w:r w:rsidR="008B2249">
        <w:t>Die Richtlinie weist laut EU-Kommission mehrere Schw</w:t>
      </w:r>
      <w:r w:rsidR="008B2249">
        <w:rPr>
          <w:rFonts w:hint="cs"/>
        </w:rPr>
        <w:t>ä</w:t>
      </w:r>
      <w:r w:rsidR="008B2249">
        <w:t>chen auf, die insbesondere im Hinblick auf neue Abfallstr</w:t>
      </w:r>
      <w:r w:rsidR="008B2249">
        <w:rPr>
          <w:rFonts w:hint="cs"/>
        </w:rPr>
        <w:t>ö</w:t>
      </w:r>
      <w:r w:rsidR="008B2249">
        <w:t>me problematisch sind. So ber</w:t>
      </w:r>
      <w:r w:rsidR="008B2249">
        <w:rPr>
          <w:rFonts w:hint="cs"/>
        </w:rPr>
        <w:t>ü</w:t>
      </w:r>
      <w:r w:rsidR="008B2249">
        <w:t xml:space="preserve">cksichtigt der derzeitige Geltungsbereich nicht ausreichend kritische Rohstoffe (CRMs) aus Anlagen wie Windkraftanlagen, die in den kommenden Jahrzehnten ausgemustert werden. </w:t>
      </w:r>
    </w:p>
    <w:p w14:paraId="3954DA31" w14:textId="1A9EAA7B" w:rsidR="00502CC1" w:rsidRPr="00F3671C" w:rsidRDefault="008B2249" w:rsidP="00415180">
      <w:r>
        <w:t xml:space="preserve">Im Jahr 2022 erreichten </w:t>
      </w:r>
      <w:r w:rsidR="007B02AD">
        <w:t xml:space="preserve">laut EU-Kommission </w:t>
      </w:r>
      <w:r>
        <w:t>lediglich Bulgarien, Lettland und die Slowakei das Sammelziel von 65 % f</w:t>
      </w:r>
      <w:r>
        <w:rPr>
          <w:rFonts w:hint="cs"/>
        </w:rPr>
        <w:t>ü</w:t>
      </w:r>
      <w:r>
        <w:t>r Elektro- und Elektronik-Altger</w:t>
      </w:r>
      <w:r>
        <w:rPr>
          <w:rFonts w:hint="cs"/>
        </w:rPr>
        <w:t>ä</w:t>
      </w:r>
      <w:r>
        <w:t>te (WEEE), bezogen auf die in den drei Vorjahren in Verkehr gebrachte Menge. Wirtschaftliche H</w:t>
      </w:r>
      <w:r>
        <w:rPr>
          <w:rFonts w:hint="cs"/>
        </w:rPr>
        <w:t>ü</w:t>
      </w:r>
      <w:r>
        <w:t xml:space="preserve">rden, illegale Handelspraktiken, mangelnde Infrastruktur und ein geringes </w:t>
      </w:r>
      <w:r>
        <w:rPr>
          <w:rFonts w:hint="cs"/>
        </w:rPr>
        <w:t>ö</w:t>
      </w:r>
      <w:r>
        <w:t xml:space="preserve">ffentliches Bewusstsein behinderten </w:t>
      </w:r>
      <w:r w:rsidR="006F0606">
        <w:t xml:space="preserve">laut EU-Kommission </w:t>
      </w:r>
      <w:r>
        <w:t>die Zielerreichung. Zudem erschwerten unterschiedliche Auslegungen und Berechnungsmethoden die Sammlung zus</w:t>
      </w:r>
      <w:r>
        <w:rPr>
          <w:rFonts w:hint="cs"/>
        </w:rPr>
        <w:t>ä</w:t>
      </w:r>
      <w:r>
        <w:t>tzlich. Die geringe Sammelquote f</w:t>
      </w:r>
      <w:r>
        <w:rPr>
          <w:rFonts w:hint="cs"/>
        </w:rPr>
        <w:t>ü</w:t>
      </w:r>
      <w:r>
        <w:t xml:space="preserve">hrt dazu, dass wertvolle Materialien </w:t>
      </w:r>
      <w:r>
        <w:rPr>
          <w:rFonts w:hint="cs"/>
        </w:rPr>
        <w:t>–</w:t>
      </w:r>
      <w:r>
        <w:t xml:space="preserve"> insbesondere kritische Rohstoffe wie Kupfer, Seltene Erden, Gallium, Germanium oder Wolfram </w:t>
      </w:r>
      <w:r>
        <w:rPr>
          <w:rFonts w:hint="cs"/>
        </w:rPr>
        <w:t>–</w:t>
      </w:r>
      <w:r>
        <w:t xml:space="preserve"> nicht zur</w:t>
      </w:r>
      <w:r>
        <w:rPr>
          <w:rFonts w:hint="cs"/>
        </w:rPr>
        <w:t>ü</w:t>
      </w:r>
      <w:r>
        <w:t>ckgewonnen werden k</w:t>
      </w:r>
      <w:r>
        <w:rPr>
          <w:rFonts w:hint="cs"/>
        </w:rPr>
        <w:t>ö</w:t>
      </w:r>
      <w:r>
        <w:t xml:space="preserve">nnen. </w:t>
      </w:r>
    </w:p>
    <w:p w14:paraId="42A606CD" w14:textId="7A2E3B5A" w:rsidR="00E86328" w:rsidRDefault="00A44D8E" w:rsidP="00AE2657">
      <w:pPr>
        <w:pStyle w:val="Listenabsatz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Die Kommission stellt Überlegungen </w:t>
      </w:r>
      <w:r w:rsidR="00307E93">
        <w:rPr>
          <w:b/>
          <w:bCs/>
        </w:rPr>
        <w:t xml:space="preserve">zu folgenden </w:t>
      </w:r>
      <w:r w:rsidR="00CD3351">
        <w:rPr>
          <w:b/>
          <w:bCs/>
        </w:rPr>
        <w:t xml:space="preserve">Maßnahmen </w:t>
      </w:r>
      <w:r w:rsidR="00307E93">
        <w:rPr>
          <w:b/>
          <w:bCs/>
        </w:rPr>
        <w:t>an</w:t>
      </w:r>
      <w:r w:rsidR="005141A4">
        <w:rPr>
          <w:b/>
          <w:bCs/>
        </w:rPr>
        <w:t>, um die Sammlung von elektrischem und elektronischem Abfall zu fördern</w:t>
      </w:r>
      <w:r w:rsidR="00307E93">
        <w:rPr>
          <w:b/>
          <w:bCs/>
        </w:rPr>
        <w:t>.</w:t>
      </w:r>
      <w:r w:rsidR="004F17F3" w:rsidRPr="004F17F3">
        <w:rPr>
          <w:b/>
          <w:bCs/>
        </w:rPr>
        <w:t xml:space="preserve"> </w:t>
      </w:r>
      <w:r w:rsidR="0061437A">
        <w:rPr>
          <w:b/>
          <w:bCs/>
        </w:rPr>
        <w:t xml:space="preserve">Markieren Sie die </w:t>
      </w:r>
      <w:r w:rsidR="46B9CB85" w:rsidRPr="01FD2823">
        <w:rPr>
          <w:b/>
          <w:bCs/>
        </w:rPr>
        <w:t xml:space="preserve">drei oder fünf </w:t>
      </w:r>
      <w:r w:rsidR="0061437A">
        <w:rPr>
          <w:b/>
          <w:bCs/>
        </w:rPr>
        <w:t>wichtigsten</w:t>
      </w:r>
      <w:r w:rsidR="00307E93">
        <w:rPr>
          <w:b/>
          <w:bCs/>
        </w:rPr>
        <w:t xml:space="preserve"> </w:t>
      </w:r>
      <w:r w:rsidR="00307E93" w:rsidRPr="00307E93">
        <w:rPr>
          <w:b/>
          <w:bCs/>
          <w:highlight w:val="green"/>
        </w:rPr>
        <w:t>grün</w:t>
      </w:r>
      <w:r w:rsidR="004A6792">
        <w:rPr>
          <w:b/>
          <w:bCs/>
        </w:rPr>
        <w:t>.</w:t>
      </w:r>
      <w:r w:rsidR="00307E93">
        <w:rPr>
          <w:b/>
          <w:bCs/>
        </w:rPr>
        <w:t xml:space="preserve"> Markieren Sie jene Maßnahmen </w:t>
      </w:r>
      <w:r w:rsidR="00307E93" w:rsidRPr="00307E93">
        <w:rPr>
          <w:b/>
          <w:bCs/>
          <w:highlight w:val="red"/>
        </w:rPr>
        <w:t>rot</w:t>
      </w:r>
      <w:r w:rsidR="00307E93">
        <w:rPr>
          <w:b/>
          <w:bCs/>
        </w:rPr>
        <w:t>, wo die DIHK eine Gegenposition entwickeln sollte</w:t>
      </w:r>
      <w:r w:rsidR="008340AF">
        <w:rPr>
          <w:b/>
          <w:bCs/>
        </w:rPr>
        <w:t xml:space="preserve"> (gerne auch </w:t>
      </w:r>
      <w:r w:rsidR="007B02AD">
        <w:rPr>
          <w:b/>
          <w:bCs/>
        </w:rPr>
        <w:t xml:space="preserve">stichwortartige </w:t>
      </w:r>
      <w:r w:rsidR="008340AF">
        <w:rPr>
          <w:b/>
          <w:bCs/>
        </w:rPr>
        <w:t>Erläuterung warum)</w:t>
      </w:r>
      <w:r w:rsidR="00307E93">
        <w:rPr>
          <w:b/>
          <w:bCs/>
        </w:rPr>
        <w:t xml:space="preserve">. </w:t>
      </w:r>
    </w:p>
    <w:p w14:paraId="2505D684" w14:textId="420CFA63" w:rsidR="007F473A" w:rsidRPr="00C30073" w:rsidRDefault="00115717" w:rsidP="005141A4">
      <w:pPr>
        <w:pStyle w:val="Listenabsatz"/>
        <w:numPr>
          <w:ilvl w:val="0"/>
          <w:numId w:val="9"/>
        </w:numPr>
      </w:pPr>
      <w:r>
        <w:t>D</w:t>
      </w:r>
      <w:r w:rsidR="00A775AB" w:rsidRPr="00C30073">
        <w:t>ie Hersteller gesetzlich f</w:t>
      </w:r>
      <w:r w:rsidR="00A775AB" w:rsidRPr="00C30073">
        <w:rPr>
          <w:rFonts w:hint="cs"/>
        </w:rPr>
        <w:t>ü</w:t>
      </w:r>
      <w:r w:rsidR="00A775AB" w:rsidRPr="00C30073">
        <w:t>r die Erf</w:t>
      </w:r>
      <w:r w:rsidR="00A775AB" w:rsidRPr="00C30073">
        <w:rPr>
          <w:rFonts w:hint="cs"/>
        </w:rPr>
        <w:t>ü</w:t>
      </w:r>
      <w:r w:rsidR="00A775AB" w:rsidRPr="00C30073">
        <w:t>llung der nationalen Sammelziele f</w:t>
      </w:r>
      <w:r w:rsidR="00A775AB" w:rsidRPr="00C30073">
        <w:rPr>
          <w:rFonts w:hint="cs"/>
        </w:rPr>
        <w:t>ü</w:t>
      </w:r>
      <w:r w:rsidR="00A775AB" w:rsidRPr="00C30073">
        <w:t>r Elektro- und Elektronik-Altger</w:t>
      </w:r>
      <w:r w:rsidR="00A775AB" w:rsidRPr="00C30073">
        <w:rPr>
          <w:rFonts w:hint="cs"/>
        </w:rPr>
        <w:t>ä</w:t>
      </w:r>
      <w:r w:rsidR="00A775AB" w:rsidRPr="00C30073">
        <w:t>te verantwortlich machen</w:t>
      </w:r>
    </w:p>
    <w:p w14:paraId="2406AF41" w14:textId="61A078A9" w:rsidR="00A775AB" w:rsidRPr="00C30073" w:rsidRDefault="00CE18FD" w:rsidP="005141A4">
      <w:pPr>
        <w:pStyle w:val="Listenabsatz"/>
        <w:numPr>
          <w:ilvl w:val="0"/>
          <w:numId w:val="9"/>
        </w:numPr>
      </w:pPr>
      <w:r w:rsidRPr="00C30073">
        <w:t>Erhöhung der Sammelziele</w:t>
      </w:r>
    </w:p>
    <w:p w14:paraId="19AB406F" w14:textId="0B38F0C3" w:rsidR="007A66DF" w:rsidRPr="00C30073" w:rsidRDefault="007A66DF" w:rsidP="005141A4">
      <w:pPr>
        <w:pStyle w:val="Listenabsatz"/>
        <w:numPr>
          <w:ilvl w:val="0"/>
          <w:numId w:val="9"/>
        </w:numPr>
      </w:pPr>
      <w:r w:rsidRPr="00C30073">
        <w:t>Verhängung finanzieller Sanktionen gegen Hersteller, die die Sammelziele für Elektro- und Elektronik-Altgeräte nicht erfüllen</w:t>
      </w:r>
    </w:p>
    <w:p w14:paraId="3C2E2BB0" w14:textId="34DC7917" w:rsidR="009B3496" w:rsidRPr="00C30073" w:rsidRDefault="009B3496" w:rsidP="005141A4">
      <w:pPr>
        <w:pStyle w:val="Listenabsatz"/>
        <w:numPr>
          <w:ilvl w:val="0"/>
          <w:numId w:val="9"/>
        </w:numPr>
      </w:pPr>
      <w:r w:rsidRPr="00C30073">
        <w:t>Verstärkte Kontrollen zur Aufdeckung illegaler Ausfuhren von Elektro- und Elektronik-Altgeräten aus der EU</w:t>
      </w:r>
    </w:p>
    <w:p w14:paraId="5BE01780" w14:textId="32537BE3" w:rsidR="00EF48E9" w:rsidRPr="00C30073" w:rsidRDefault="00EF48E9" w:rsidP="005141A4">
      <w:pPr>
        <w:pStyle w:val="Listenabsatz"/>
        <w:numPr>
          <w:ilvl w:val="0"/>
          <w:numId w:val="9"/>
        </w:numPr>
      </w:pPr>
      <w:r w:rsidRPr="00C30073">
        <w:t>Alle Akteure, die mit Elektro- und Elektronik-Altgeräten umgehen, sollen verpflichtet werden, die Mengen über ein einheitliches nationales System zu registrieren und zu melden.</w:t>
      </w:r>
    </w:p>
    <w:p w14:paraId="78783C1A" w14:textId="59C0912A" w:rsidR="0074235E" w:rsidRPr="00C30073" w:rsidRDefault="0074235E" w:rsidP="005141A4">
      <w:pPr>
        <w:pStyle w:val="Listenabsatz"/>
        <w:numPr>
          <w:ilvl w:val="0"/>
          <w:numId w:val="9"/>
        </w:numPr>
      </w:pPr>
      <w:r w:rsidRPr="00C30073">
        <w:t>Durchführung von wiederkehrenden, produktspezifischen Sensibilisierungskampagnen auf nationaler Ebene</w:t>
      </w:r>
    </w:p>
    <w:p w14:paraId="697EE2F5" w14:textId="575D6C93" w:rsidR="00044EF5" w:rsidRPr="00C30073" w:rsidRDefault="00044EF5" w:rsidP="005141A4">
      <w:pPr>
        <w:pStyle w:val="Listenabsatz"/>
        <w:numPr>
          <w:ilvl w:val="0"/>
          <w:numId w:val="9"/>
        </w:numPr>
      </w:pPr>
      <w:r w:rsidRPr="00C30073">
        <w:t>Untersuchung des Verbraucherverhaltens und der Hindernisse für die Rückgabe von Elektro- und Elektronik-Altgeräten als Grundlage für gezielte Initiativen</w:t>
      </w:r>
    </w:p>
    <w:p w14:paraId="197254A6" w14:textId="583587F0" w:rsidR="00CF2E13" w:rsidRPr="00C30073" w:rsidRDefault="00CF2E13" w:rsidP="005141A4">
      <w:pPr>
        <w:pStyle w:val="Listenabsatz"/>
        <w:numPr>
          <w:ilvl w:val="0"/>
          <w:numId w:val="9"/>
        </w:numPr>
      </w:pPr>
      <w:r w:rsidRPr="00C30073">
        <w:t>Verpflichtung von Online-Verkäufern, die kostenlose Rücknahme von Elektro- und Elektronikgeräten anzubieten</w:t>
      </w:r>
    </w:p>
    <w:p w14:paraId="48C41DF6" w14:textId="5C064ACB" w:rsidR="00A81E44" w:rsidRPr="00C30073" w:rsidRDefault="00A81E44" w:rsidP="005141A4">
      <w:pPr>
        <w:pStyle w:val="Listenabsatz"/>
        <w:numPr>
          <w:ilvl w:val="0"/>
          <w:numId w:val="9"/>
        </w:numPr>
      </w:pPr>
      <w:r w:rsidRPr="00C30073">
        <w:t>Verpflichtende Haus-zu-Haus-Sammlung von Elektro- und Elektronik-Altgeräten für Gemeinden ab einer bestimmten Bevölkerungszahl</w:t>
      </w:r>
    </w:p>
    <w:p w14:paraId="4296FF2D" w14:textId="41BAAFC0" w:rsidR="002356C0" w:rsidRPr="00C30073" w:rsidRDefault="002356C0" w:rsidP="005141A4">
      <w:pPr>
        <w:pStyle w:val="Listenabsatz"/>
        <w:numPr>
          <w:ilvl w:val="0"/>
          <w:numId w:val="9"/>
        </w:numPr>
      </w:pPr>
      <w:r w:rsidRPr="00C30073">
        <w:t>Einrichtung von Pfandsystemen für Kleingeräte</w:t>
      </w:r>
    </w:p>
    <w:p w14:paraId="77D58600" w14:textId="77777777" w:rsidR="00795C53" w:rsidRDefault="00B433D6" w:rsidP="005141A4">
      <w:pPr>
        <w:pStyle w:val="Listenabsatz"/>
        <w:numPr>
          <w:ilvl w:val="0"/>
          <w:numId w:val="9"/>
        </w:numPr>
      </w:pPr>
      <w:r w:rsidRPr="00C30073">
        <w:t>Verpflichtung der Verkäufer von Elektro- und Elektronikgeräten zur Annahme von Elektro- und Elektronik-Altgeräten, unabhängig davon, wo das Produkt gekauft wurde</w:t>
      </w:r>
    </w:p>
    <w:p w14:paraId="63226F48" w14:textId="118FD092" w:rsidR="00B433D6" w:rsidRPr="00C30073" w:rsidRDefault="00B433D6" w:rsidP="005141A4">
      <w:pPr>
        <w:pStyle w:val="Listenabsatz"/>
        <w:numPr>
          <w:ilvl w:val="0"/>
          <w:numId w:val="9"/>
        </w:numPr>
      </w:pPr>
      <w:r w:rsidRPr="00C30073">
        <w:t xml:space="preserve">Einrichtung von Pfandsystemen für Kleingeräte </w:t>
      </w:r>
    </w:p>
    <w:p w14:paraId="522FBBB5" w14:textId="41E612FD" w:rsidR="00C30073" w:rsidRPr="00C30073" w:rsidRDefault="00C30073" w:rsidP="005141A4">
      <w:pPr>
        <w:pStyle w:val="Listenabsatz"/>
        <w:numPr>
          <w:ilvl w:val="0"/>
          <w:numId w:val="9"/>
        </w:numPr>
      </w:pPr>
      <w:r w:rsidRPr="00C30073">
        <w:t>Entwicklung von Anreizen auf der Grundlage von Verbraucherpräferenzen (z. B. Bevorzugung von Gutscheinen gegenüber Pfandsystemen)</w:t>
      </w:r>
    </w:p>
    <w:p w14:paraId="340AD6FD" w14:textId="03BFBF62" w:rsidR="007B02AD" w:rsidRPr="007B02AD" w:rsidRDefault="00C30073" w:rsidP="007B02AD">
      <w:pPr>
        <w:pStyle w:val="Listenabsatz"/>
        <w:numPr>
          <w:ilvl w:val="0"/>
          <w:numId w:val="9"/>
        </w:numPr>
      </w:pPr>
      <w:r w:rsidRPr="00C30073">
        <w:t xml:space="preserve">Sonstiges: </w:t>
      </w:r>
    </w:p>
    <w:p w14:paraId="153E062A" w14:textId="22C4751B" w:rsidR="004F17F3" w:rsidRDefault="00A86A82" w:rsidP="004F17F3">
      <w:pPr>
        <w:pStyle w:val="Listenabsatz"/>
        <w:numPr>
          <w:ilvl w:val="0"/>
          <w:numId w:val="3"/>
        </w:numPr>
        <w:rPr>
          <w:b/>
          <w:bCs/>
        </w:rPr>
      </w:pPr>
      <w:r w:rsidRPr="00A86A82">
        <w:rPr>
          <w:b/>
          <w:bCs/>
        </w:rPr>
        <w:lastRenderedPageBreak/>
        <w:t>Was behindert derzeit das Recycling von kritischen Rohstoffen (CRM) aus Elektro- und Elektronikaltgeräten in der EU?</w:t>
      </w:r>
      <w:r w:rsidR="00E131E4">
        <w:rPr>
          <w:b/>
          <w:bCs/>
        </w:rPr>
        <w:t xml:space="preserve"> Markieren Sie die </w:t>
      </w:r>
      <w:r w:rsidR="613F2BE9" w:rsidRPr="000A6782">
        <w:t>drei oder f</w:t>
      </w:r>
      <w:r w:rsidR="613F2BE9" w:rsidRPr="000A6782">
        <w:rPr>
          <w:rFonts w:hint="cs"/>
        </w:rPr>
        <w:t>ü</w:t>
      </w:r>
      <w:r w:rsidR="613F2BE9" w:rsidRPr="000A6782">
        <w:t xml:space="preserve">nf </w:t>
      </w:r>
      <w:r w:rsidR="00E131E4">
        <w:rPr>
          <w:b/>
          <w:bCs/>
        </w:rPr>
        <w:t>wichtigsten</w:t>
      </w:r>
      <w:r w:rsidR="00B43000">
        <w:rPr>
          <w:b/>
          <w:bCs/>
        </w:rPr>
        <w:t xml:space="preserve"> Gründe</w:t>
      </w:r>
      <w:r w:rsidR="00E131E4">
        <w:rPr>
          <w:b/>
          <w:bCs/>
        </w:rPr>
        <w:t xml:space="preserve">. </w:t>
      </w:r>
    </w:p>
    <w:p w14:paraId="53BB8038" w14:textId="53B4F1C5" w:rsidR="00A86A82" w:rsidRPr="00DA1EDE" w:rsidRDefault="00AC207A" w:rsidP="00A86A82">
      <w:pPr>
        <w:pStyle w:val="Listenabsatz"/>
        <w:numPr>
          <w:ilvl w:val="0"/>
          <w:numId w:val="9"/>
        </w:numPr>
      </w:pPr>
      <w:r w:rsidRPr="00DA1EDE">
        <w:t>Elektro- und Elektronik-Altgeräte, die an Schrottplätze oder große Schredderanlagen weitergeleitet werden</w:t>
      </w:r>
    </w:p>
    <w:p w14:paraId="46898DA2" w14:textId="6E71018D" w:rsidR="00AC207A" w:rsidRPr="00DA1EDE" w:rsidRDefault="00AC207A" w:rsidP="00A86A82">
      <w:pPr>
        <w:pStyle w:val="Listenabsatz"/>
        <w:numPr>
          <w:ilvl w:val="0"/>
          <w:numId w:val="9"/>
        </w:numPr>
      </w:pPr>
      <w:r w:rsidRPr="00DA1EDE">
        <w:t>Fehlende Infrastruktur (z. B. Sammlung, Sortierung und Recycling)</w:t>
      </w:r>
    </w:p>
    <w:p w14:paraId="1498B986" w14:textId="5A989F8F" w:rsidR="00AC207A" w:rsidRPr="00DA1EDE" w:rsidRDefault="00AC207A" w:rsidP="00A86A82">
      <w:pPr>
        <w:pStyle w:val="Listenabsatz"/>
        <w:numPr>
          <w:ilvl w:val="0"/>
          <w:numId w:val="9"/>
        </w:numPr>
      </w:pPr>
      <w:r w:rsidRPr="00DA1EDE">
        <w:t>Mangelnde Größenordnung / ein fragmentierter Markt</w:t>
      </w:r>
    </w:p>
    <w:p w14:paraId="0EF4630E" w14:textId="412725D5" w:rsidR="00AC207A" w:rsidRPr="00DA1EDE" w:rsidRDefault="00AC207A" w:rsidP="00A86A82">
      <w:pPr>
        <w:pStyle w:val="Listenabsatz"/>
        <w:numPr>
          <w:ilvl w:val="0"/>
          <w:numId w:val="9"/>
        </w:numPr>
      </w:pPr>
      <w:r w:rsidRPr="00DA1EDE">
        <w:t>Unzureichende technologische Bereitschaft</w:t>
      </w:r>
    </w:p>
    <w:p w14:paraId="5842C380" w14:textId="0BE54146" w:rsidR="00AC207A" w:rsidRPr="00DA1EDE" w:rsidRDefault="00AC207A" w:rsidP="00A86A82">
      <w:pPr>
        <w:pStyle w:val="Listenabsatz"/>
        <w:numPr>
          <w:ilvl w:val="0"/>
          <w:numId w:val="9"/>
        </w:numPr>
      </w:pPr>
      <w:r w:rsidRPr="00DA1EDE">
        <w:t>Die Konzentration von CRM in Bauteilen von Elektro- und Elektronikgeräten ist zu gering, um für das Recycling in Frage zu kommen</w:t>
      </w:r>
    </w:p>
    <w:p w14:paraId="0A489B99" w14:textId="54672EDE" w:rsidR="00AC207A" w:rsidRPr="00DA1EDE" w:rsidRDefault="00AC207A" w:rsidP="00A86A82">
      <w:pPr>
        <w:pStyle w:val="Listenabsatz"/>
        <w:numPr>
          <w:ilvl w:val="0"/>
          <w:numId w:val="9"/>
        </w:numPr>
      </w:pPr>
      <w:r w:rsidRPr="00DA1EDE">
        <w:t>Unzureichende Entfernung von elektrischen und elektronischen Bauteilen</w:t>
      </w:r>
    </w:p>
    <w:p w14:paraId="10FB9BE6" w14:textId="09DD5D1B" w:rsidR="00DA1EDE" w:rsidRPr="00DA1EDE" w:rsidRDefault="00DA1EDE" w:rsidP="00A86A82">
      <w:pPr>
        <w:pStyle w:val="Listenabsatz"/>
        <w:numPr>
          <w:ilvl w:val="0"/>
          <w:numId w:val="9"/>
        </w:numPr>
      </w:pPr>
      <w:r w:rsidRPr="00DA1EDE">
        <w:t>Niedriger Preis von ungebrauchten primären CRMs</w:t>
      </w:r>
    </w:p>
    <w:p w14:paraId="6FA5E6FF" w14:textId="325E0CFB" w:rsidR="00DA1EDE" w:rsidRPr="00DA1EDE" w:rsidRDefault="00DA1EDE" w:rsidP="00A86A82">
      <w:pPr>
        <w:pStyle w:val="Listenabsatz"/>
        <w:numPr>
          <w:ilvl w:val="0"/>
          <w:numId w:val="9"/>
        </w:numPr>
      </w:pPr>
      <w:r w:rsidRPr="00DA1EDE">
        <w:t>Niedriger Preis für importierte sekundäre CRMs</w:t>
      </w:r>
    </w:p>
    <w:p w14:paraId="765A8984" w14:textId="39915410" w:rsidR="00DA1EDE" w:rsidRPr="00DA1EDE" w:rsidRDefault="00DA1EDE" w:rsidP="00A86A82">
      <w:pPr>
        <w:pStyle w:val="Listenabsatz"/>
        <w:numPr>
          <w:ilvl w:val="0"/>
          <w:numId w:val="9"/>
        </w:numPr>
      </w:pPr>
      <w:r w:rsidRPr="00DA1EDE">
        <w:t>Die Qualität der sekundären CRM ist geringer als die der primären.</w:t>
      </w:r>
    </w:p>
    <w:p w14:paraId="67E5D7CD" w14:textId="03D65A4E" w:rsidR="00DA1EDE" w:rsidRPr="00DA1EDE" w:rsidRDefault="00DA1EDE" w:rsidP="00A86A82">
      <w:pPr>
        <w:pStyle w:val="Listenabsatz"/>
        <w:numPr>
          <w:ilvl w:val="0"/>
          <w:numId w:val="9"/>
        </w:numPr>
      </w:pPr>
      <w:r w:rsidRPr="00DA1EDE">
        <w:t>Unzureichende Nachfrage nach sekundären CRMs</w:t>
      </w:r>
    </w:p>
    <w:p w14:paraId="378FDD22" w14:textId="42CA733A" w:rsidR="00DA1EDE" w:rsidRPr="00DA1EDE" w:rsidRDefault="00DA1EDE" w:rsidP="00A86A82">
      <w:pPr>
        <w:pStyle w:val="Listenabsatz"/>
        <w:numPr>
          <w:ilvl w:val="0"/>
          <w:numId w:val="9"/>
        </w:numPr>
      </w:pPr>
      <w:r w:rsidRPr="00DA1EDE">
        <w:t>Hohe Energiekosten für das Recycling</w:t>
      </w:r>
    </w:p>
    <w:p w14:paraId="013CEEF9" w14:textId="2F326924" w:rsidR="00DA1EDE" w:rsidRPr="00DA1EDE" w:rsidRDefault="00DA1EDE" w:rsidP="00A86A82">
      <w:pPr>
        <w:pStyle w:val="Listenabsatz"/>
        <w:numPr>
          <w:ilvl w:val="0"/>
          <w:numId w:val="9"/>
        </w:numPr>
      </w:pPr>
      <w:r w:rsidRPr="00DA1EDE">
        <w:t>Unzureichende Informationen über CRM in Elektro- und Elektronik-Altgeräten, die den Verwertern zur Verfügung stehen</w:t>
      </w:r>
    </w:p>
    <w:p w14:paraId="6E74D9E9" w14:textId="48E2F055" w:rsidR="00DA1EDE" w:rsidRPr="00DA1EDE" w:rsidRDefault="00DA1EDE" w:rsidP="00A86A82">
      <w:pPr>
        <w:pStyle w:val="Listenabsatz"/>
        <w:numPr>
          <w:ilvl w:val="0"/>
          <w:numId w:val="9"/>
        </w:numPr>
      </w:pPr>
      <w:r w:rsidRPr="00DA1EDE">
        <w:t xml:space="preserve">Elektrische und elektronische Geräte, die nicht für das Recycling </w:t>
      </w:r>
      <w:r w:rsidR="00FC4F57">
        <w:t>entwickelt worden</w:t>
      </w:r>
      <w:r w:rsidRPr="00DA1EDE">
        <w:t xml:space="preserve"> sind</w:t>
      </w:r>
    </w:p>
    <w:p w14:paraId="79553FB0" w14:textId="4932807F" w:rsidR="00DA1EDE" w:rsidRDefault="00DA1EDE" w:rsidP="00A86A82">
      <w:pPr>
        <w:pStyle w:val="Listenabsatz"/>
        <w:numPr>
          <w:ilvl w:val="0"/>
          <w:numId w:val="9"/>
        </w:numPr>
      </w:pPr>
      <w:r w:rsidRPr="00DA1EDE">
        <w:t xml:space="preserve">Sonstiges: </w:t>
      </w:r>
    </w:p>
    <w:p w14:paraId="0D37B709" w14:textId="77777777" w:rsidR="00EC2A58" w:rsidRDefault="00EC2A58" w:rsidP="00EC2A58">
      <w:pPr>
        <w:pStyle w:val="Listenabsatz"/>
      </w:pPr>
    </w:p>
    <w:p w14:paraId="53B871A5" w14:textId="1A0FE234" w:rsidR="00EC2A58" w:rsidRDefault="00EC2A58" w:rsidP="00EC2A58">
      <w:pPr>
        <w:pStyle w:val="Listenabsatz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Wie kann das Recycling</w:t>
      </w:r>
      <w:r w:rsidRPr="004F17F3">
        <w:rPr>
          <w:b/>
          <w:bCs/>
        </w:rPr>
        <w:t xml:space="preserve"> </w:t>
      </w:r>
      <w:r w:rsidRPr="00A86A82">
        <w:rPr>
          <w:b/>
          <w:bCs/>
        </w:rPr>
        <w:t>von kritischen Rohstoffen (CRM) aus Elektro- und Elektronikaltgeräten</w:t>
      </w:r>
      <w:r w:rsidR="00085C92">
        <w:rPr>
          <w:b/>
          <w:bCs/>
        </w:rPr>
        <w:t xml:space="preserve"> gefördert werden</w:t>
      </w:r>
      <w:r w:rsidRPr="004F17F3">
        <w:rPr>
          <w:b/>
          <w:bCs/>
        </w:rPr>
        <w:t xml:space="preserve">? </w:t>
      </w:r>
      <w:r w:rsidR="17481A17" w:rsidRPr="000A6782">
        <w:t>(auch stichwortartig)</w:t>
      </w:r>
    </w:p>
    <w:p w14:paraId="4403C2A7" w14:textId="3A82AFFB" w:rsidR="00067B0E" w:rsidRDefault="00067B0E" w:rsidP="00E708E2">
      <w:pPr>
        <w:pStyle w:val="berschrift2"/>
        <w:rPr>
          <w:rFonts w:hint="eastAsia"/>
        </w:rPr>
      </w:pPr>
      <w:r w:rsidRPr="009B698F">
        <w:t xml:space="preserve">Sonstiges </w:t>
      </w:r>
    </w:p>
    <w:p w14:paraId="7A49DE31" w14:textId="4B4B2930" w:rsidR="004D35A8" w:rsidRPr="007B02AD" w:rsidRDefault="007B02AD" w:rsidP="007B02AD">
      <w:pPr>
        <w:pStyle w:val="Listenabsatz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Wie bewerten</w:t>
      </w:r>
      <w:r w:rsidR="004D35A8" w:rsidRPr="00D03581">
        <w:rPr>
          <w:b/>
          <w:bCs/>
        </w:rPr>
        <w:t xml:space="preserve"> Sie </w:t>
      </w:r>
      <w:r>
        <w:rPr>
          <w:b/>
          <w:bCs/>
        </w:rPr>
        <w:t>die</w:t>
      </w:r>
      <w:r w:rsidR="004D35A8" w:rsidRPr="00D03581">
        <w:rPr>
          <w:b/>
          <w:bCs/>
        </w:rPr>
        <w:t xml:space="preserve"> folgenden Aussagen über die Vorteile und Herausforderungen bei der Durchführung von Audits vor dem Abriss und vor der Renovierung?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8"/>
        <w:gridCol w:w="970"/>
        <w:gridCol w:w="970"/>
        <w:gridCol w:w="951"/>
        <w:gridCol w:w="970"/>
        <w:gridCol w:w="970"/>
        <w:gridCol w:w="541"/>
        <w:gridCol w:w="802"/>
      </w:tblGrid>
      <w:tr w:rsidR="004D35A8" w14:paraId="6FFDF07D" w14:textId="77777777" w:rsidTr="00115717">
        <w:tc>
          <w:tcPr>
            <w:tcW w:w="2981" w:type="dxa"/>
          </w:tcPr>
          <w:p w14:paraId="7EDDFF5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2599FBC9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stimme voll und ganz zu</w:t>
            </w:r>
          </w:p>
        </w:tc>
        <w:tc>
          <w:tcPr>
            <w:tcW w:w="1002" w:type="dxa"/>
          </w:tcPr>
          <w:p w14:paraId="1F5D0AA4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stimme zu</w:t>
            </w:r>
          </w:p>
        </w:tc>
        <w:tc>
          <w:tcPr>
            <w:tcW w:w="983" w:type="dxa"/>
          </w:tcPr>
          <w:p w14:paraId="4F6DE708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neutral</w:t>
            </w:r>
          </w:p>
        </w:tc>
        <w:tc>
          <w:tcPr>
            <w:tcW w:w="1002" w:type="dxa"/>
          </w:tcPr>
          <w:p w14:paraId="4644F340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stimme nicht zu</w:t>
            </w:r>
          </w:p>
        </w:tc>
        <w:tc>
          <w:tcPr>
            <w:tcW w:w="1002" w:type="dxa"/>
          </w:tcPr>
          <w:p w14:paraId="5E34B3D1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stimme ganz und gar nicht zu</w:t>
            </w:r>
          </w:p>
        </w:tc>
        <w:tc>
          <w:tcPr>
            <w:tcW w:w="545" w:type="dxa"/>
          </w:tcPr>
          <w:p w14:paraId="26E34367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weiß ich nicht</w:t>
            </w:r>
          </w:p>
        </w:tc>
        <w:tc>
          <w:tcPr>
            <w:tcW w:w="545" w:type="dxa"/>
          </w:tcPr>
          <w:p w14:paraId="779D7E29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Nicht zutreffend</w:t>
            </w:r>
          </w:p>
        </w:tc>
      </w:tr>
      <w:tr w:rsidR="004D35A8" w14:paraId="12D9ACDD" w14:textId="77777777" w:rsidTr="00115717">
        <w:tc>
          <w:tcPr>
            <w:tcW w:w="2981" w:type="dxa"/>
          </w:tcPr>
          <w:p w14:paraId="7BFFE684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Das Audit verbessert die Planung des selektiven Abbruchs</w:t>
            </w:r>
          </w:p>
        </w:tc>
        <w:tc>
          <w:tcPr>
            <w:tcW w:w="1002" w:type="dxa"/>
          </w:tcPr>
          <w:p w14:paraId="233B4094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3329338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4EAA79A4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7D0959DF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6AC9C34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5955AA5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467508A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00085F78" w14:textId="77777777" w:rsidTr="00115717">
        <w:tc>
          <w:tcPr>
            <w:tcW w:w="2981" w:type="dxa"/>
          </w:tcPr>
          <w:p w14:paraId="43C9449F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Das Audit erhöht die Wiederverwendung/Recycling von Materialien</w:t>
            </w:r>
          </w:p>
        </w:tc>
        <w:tc>
          <w:tcPr>
            <w:tcW w:w="1002" w:type="dxa"/>
          </w:tcPr>
          <w:p w14:paraId="1B5A534B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733A1B51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1736DFAD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2F2F9D08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50A803B0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58A2513A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6612F330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5832D920" w14:textId="77777777" w:rsidTr="00115717">
        <w:tc>
          <w:tcPr>
            <w:tcW w:w="2981" w:type="dxa"/>
          </w:tcPr>
          <w:p w14:paraId="5C4328B4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Das Audit reduziert die Deponierung</w:t>
            </w:r>
          </w:p>
        </w:tc>
        <w:tc>
          <w:tcPr>
            <w:tcW w:w="1002" w:type="dxa"/>
          </w:tcPr>
          <w:p w14:paraId="177D5E61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3F9A8050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25394512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211B8C5F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38E4E145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3FA2D5DB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64F2F877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044DB70B" w14:textId="77777777" w:rsidTr="00115717">
        <w:tc>
          <w:tcPr>
            <w:tcW w:w="2981" w:type="dxa"/>
          </w:tcPr>
          <w:p w14:paraId="31C0900B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Das Audit ermöglicht eine bessere Kostenabschätzung und Projektkontrolle</w:t>
            </w:r>
          </w:p>
        </w:tc>
        <w:tc>
          <w:tcPr>
            <w:tcW w:w="1002" w:type="dxa"/>
          </w:tcPr>
          <w:p w14:paraId="4362D3A8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415EAFD2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688BD252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5710751F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2D69FE3B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564ADA5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10A77C0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2C6E1D5F" w14:textId="77777777" w:rsidTr="00115717">
        <w:tc>
          <w:tcPr>
            <w:tcW w:w="2981" w:type="dxa"/>
          </w:tcPr>
          <w:p w14:paraId="3473D1B3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Das Audit unterstützt die Ziele der Kreislaufwirtschaft</w:t>
            </w:r>
          </w:p>
        </w:tc>
        <w:tc>
          <w:tcPr>
            <w:tcW w:w="1002" w:type="dxa"/>
          </w:tcPr>
          <w:p w14:paraId="5A409C6A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7BBD66EB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2C22527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3BC253E8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2919B95C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5AE8BC3D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2D8A4462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428E9160" w14:textId="77777777" w:rsidTr="00115717">
        <w:tc>
          <w:tcPr>
            <w:tcW w:w="2981" w:type="dxa"/>
          </w:tcPr>
          <w:p w14:paraId="1769A114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Das Auditführt zu einem hohen Verwaltungsaufwand</w:t>
            </w:r>
          </w:p>
        </w:tc>
        <w:tc>
          <w:tcPr>
            <w:tcW w:w="1002" w:type="dxa"/>
          </w:tcPr>
          <w:p w14:paraId="4A552E64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40E1A00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2AC4DD0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5D5FF6A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4586962C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573BFB9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332F8F05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158C14AA" w14:textId="77777777" w:rsidTr="00115717">
        <w:tc>
          <w:tcPr>
            <w:tcW w:w="2981" w:type="dxa"/>
          </w:tcPr>
          <w:p w14:paraId="726BF28E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Eine harmonisierte Datenbank würde die Audits vor dem Abriss und vor der Renovierung verbessern</w:t>
            </w:r>
          </w:p>
        </w:tc>
        <w:tc>
          <w:tcPr>
            <w:tcW w:w="1002" w:type="dxa"/>
          </w:tcPr>
          <w:p w14:paraId="324513E5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1F18F7A8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1BE1BC1A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3DFA03A4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3B6A8E62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01E51D5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4DA38758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66B460BB" w14:textId="77777777" w:rsidTr="00115717">
        <w:tc>
          <w:tcPr>
            <w:tcW w:w="2981" w:type="dxa"/>
          </w:tcPr>
          <w:p w14:paraId="3A017222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Audits vor dem Abriss und vor der Renovierung sollten obligatorisch sein</w:t>
            </w:r>
          </w:p>
        </w:tc>
        <w:tc>
          <w:tcPr>
            <w:tcW w:w="1002" w:type="dxa"/>
          </w:tcPr>
          <w:p w14:paraId="64845AEA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44A0B7AC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64B31434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451AFD1C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376CFC6E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6B1CD8F5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4CBC1668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31B5E18B" w14:textId="77777777" w:rsidTr="00115717">
        <w:tc>
          <w:tcPr>
            <w:tcW w:w="2981" w:type="dxa"/>
          </w:tcPr>
          <w:p w14:paraId="30EFD4AE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Audits vor dem Abriss und vor der Renovierung sollten digital sein</w:t>
            </w:r>
          </w:p>
        </w:tc>
        <w:tc>
          <w:tcPr>
            <w:tcW w:w="1002" w:type="dxa"/>
          </w:tcPr>
          <w:p w14:paraId="7BBEDC84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641EB4D4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090C130B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2F43414C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422CD235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4C890DAD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40DE7832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39FBF1D8" w14:textId="77777777" w:rsidTr="00115717">
        <w:tc>
          <w:tcPr>
            <w:tcW w:w="2981" w:type="dxa"/>
          </w:tcPr>
          <w:p w14:paraId="299A60FF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Hohe Kosten (insbesondere bei kleinen Projekten)</w:t>
            </w:r>
          </w:p>
        </w:tc>
        <w:tc>
          <w:tcPr>
            <w:tcW w:w="1002" w:type="dxa"/>
          </w:tcPr>
          <w:p w14:paraId="2287E5C3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52863C7C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02CB484D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4BA170FD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0B786A8A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259BE555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68B9C65E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050D9B33" w14:textId="77777777" w:rsidTr="00115717">
        <w:tc>
          <w:tcPr>
            <w:tcW w:w="2981" w:type="dxa"/>
          </w:tcPr>
          <w:p w14:paraId="1179C250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Mangelndes Fachwissen ist eine Herausforderung</w:t>
            </w:r>
          </w:p>
        </w:tc>
        <w:tc>
          <w:tcPr>
            <w:tcW w:w="1002" w:type="dxa"/>
          </w:tcPr>
          <w:p w14:paraId="07203E8C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7B0C3F45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1FE4460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135F8670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52B52EE2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0BD476C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70DDB8F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06B1EBE1" w14:textId="77777777" w:rsidTr="00115717">
        <w:tc>
          <w:tcPr>
            <w:tcW w:w="2981" w:type="dxa"/>
          </w:tcPr>
          <w:p w14:paraId="7607A14E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Fehlender Markt für recycelte Materialien ist eine Herausforderung</w:t>
            </w:r>
          </w:p>
        </w:tc>
        <w:tc>
          <w:tcPr>
            <w:tcW w:w="1002" w:type="dxa"/>
          </w:tcPr>
          <w:p w14:paraId="1DC42CDE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09F9FA1F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55FD36F3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6E31F140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0D011073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7CE0CA57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56BF5F25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  <w:tr w:rsidR="004D35A8" w14:paraId="024A96CF" w14:textId="77777777" w:rsidTr="00115717">
        <w:tc>
          <w:tcPr>
            <w:tcW w:w="2981" w:type="dxa"/>
          </w:tcPr>
          <w:p w14:paraId="72B2DD9E" w14:textId="77777777" w:rsidR="004D35A8" w:rsidRPr="004D35A8" w:rsidRDefault="004D35A8" w:rsidP="00115717">
            <w:pPr>
              <w:rPr>
                <w:sz w:val="14"/>
                <w:szCs w:val="14"/>
              </w:rPr>
            </w:pPr>
            <w:r w:rsidRPr="004D35A8">
              <w:rPr>
                <w:sz w:val="14"/>
                <w:szCs w:val="14"/>
              </w:rPr>
              <w:t>Abbruchunternehmen würden die Audits duplizieren</w:t>
            </w:r>
          </w:p>
        </w:tc>
        <w:tc>
          <w:tcPr>
            <w:tcW w:w="1002" w:type="dxa"/>
          </w:tcPr>
          <w:p w14:paraId="52ECF028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66C60ED0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14:paraId="57332B0F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6107D50F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1002" w:type="dxa"/>
          </w:tcPr>
          <w:p w14:paraId="04858EE6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12C7B6FE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</w:tcPr>
          <w:p w14:paraId="12C3F2E9" w14:textId="77777777" w:rsidR="004D35A8" w:rsidRPr="004D35A8" w:rsidRDefault="004D35A8" w:rsidP="00115717">
            <w:pPr>
              <w:rPr>
                <w:sz w:val="14"/>
                <w:szCs w:val="14"/>
              </w:rPr>
            </w:pPr>
          </w:p>
        </w:tc>
      </w:tr>
    </w:tbl>
    <w:p w14:paraId="45A21332" w14:textId="77777777" w:rsidR="004D35A8" w:rsidRPr="004D35A8" w:rsidRDefault="004D35A8" w:rsidP="004D35A8"/>
    <w:p w14:paraId="0C1C6006" w14:textId="1BEF59B8" w:rsidR="002F3EFE" w:rsidRDefault="00067B0E" w:rsidP="004D35A8">
      <w:pPr>
        <w:pStyle w:val="Listenabsatz"/>
        <w:numPr>
          <w:ilvl w:val="0"/>
          <w:numId w:val="3"/>
        </w:numPr>
        <w:rPr>
          <w:b/>
          <w:bCs/>
        </w:rPr>
      </w:pPr>
      <w:r w:rsidRPr="001B19DA">
        <w:rPr>
          <w:b/>
          <w:bCs/>
        </w:rPr>
        <w:t>Haben Sie noch weitere Anmerkungen</w:t>
      </w:r>
      <w:r w:rsidR="00117EA2" w:rsidRPr="001B19DA">
        <w:rPr>
          <w:b/>
          <w:bCs/>
        </w:rPr>
        <w:t>/Feedback/Ideen zum künftigen EU-Gesetz zu Kreislaufwirtschaft?</w:t>
      </w:r>
    </w:p>
    <w:p w14:paraId="1F888B9A" w14:textId="08BA8BDD" w:rsidR="007B02AD" w:rsidRDefault="007B02AD" w:rsidP="007B02AD">
      <w:pPr>
        <w:rPr>
          <w:b/>
          <w:bCs/>
        </w:rPr>
      </w:pPr>
      <w:r>
        <w:rPr>
          <w:b/>
          <w:bCs/>
        </w:rPr>
        <w:lastRenderedPageBreak/>
        <w:t>Ansprechpartnerin</w:t>
      </w:r>
    </w:p>
    <w:p w14:paraId="3BA886AF" w14:textId="77777777" w:rsidR="00C62BD3" w:rsidRPr="00C62BD3" w:rsidRDefault="00C62BD3" w:rsidP="00C62BD3">
      <w:pPr>
        <w:spacing w:after="0"/>
      </w:pPr>
      <w:r w:rsidRPr="00C62BD3">
        <w:t>Kathrin Riedler</w:t>
      </w:r>
    </w:p>
    <w:p w14:paraId="4B43CADB" w14:textId="77777777" w:rsidR="00C62BD3" w:rsidRPr="00C62BD3" w:rsidRDefault="00C62BD3" w:rsidP="00C62BD3">
      <w:pPr>
        <w:spacing w:after="0"/>
      </w:pPr>
      <w:r w:rsidRPr="00C62BD3">
        <w:t xml:space="preserve">Referatsleiterin Europäische Umwelt- und Rohstoffpolitik </w:t>
      </w:r>
    </w:p>
    <w:p w14:paraId="02CA00E3" w14:textId="77777777" w:rsidR="00C62BD3" w:rsidRPr="00C62BD3" w:rsidRDefault="00C62BD3" w:rsidP="00C62BD3">
      <w:pPr>
        <w:spacing w:after="0"/>
      </w:pPr>
      <w:r w:rsidRPr="00C62BD3">
        <w:t>Bereich Energie, Umwelt, Industrie</w:t>
      </w:r>
    </w:p>
    <w:p w14:paraId="1A90C954" w14:textId="77777777" w:rsidR="00C62BD3" w:rsidRPr="00C62BD3" w:rsidRDefault="00C62BD3" w:rsidP="00C62BD3">
      <w:pPr>
        <w:rPr>
          <w:b/>
          <w:bCs/>
        </w:rPr>
      </w:pPr>
    </w:p>
    <w:p w14:paraId="3F884C39" w14:textId="77777777" w:rsidR="00C62BD3" w:rsidRPr="00C62BD3" w:rsidRDefault="00C62BD3" w:rsidP="00C62BD3">
      <w:r w:rsidRPr="00C62BD3">
        <w:t>DIHK | Deutsche Industrie- und Handelskammer</w:t>
      </w:r>
      <w:r w:rsidRPr="00C62BD3">
        <w:br/>
        <w:t>Vertretung bei der EU</w:t>
      </w:r>
      <w:r w:rsidRPr="00C62BD3">
        <w:br/>
        <w:t>19A-D, Avenue des Arts</w:t>
      </w:r>
      <w:r w:rsidRPr="00C62BD3">
        <w:br/>
        <w:t>B-1000 Brüssel</w:t>
      </w:r>
    </w:p>
    <w:p w14:paraId="6AE0F3BB" w14:textId="77777777" w:rsidR="00C62BD3" w:rsidRPr="00C62BD3" w:rsidRDefault="00C62BD3" w:rsidP="00C62BD3">
      <w:pPr>
        <w:spacing w:after="0"/>
        <w:rPr>
          <w:lang w:val="pt-BR"/>
        </w:rPr>
      </w:pPr>
      <w:r w:rsidRPr="00C62BD3">
        <w:rPr>
          <w:lang w:val="pt-BR"/>
        </w:rPr>
        <w:t>Tel: +49 1511 1313136</w:t>
      </w:r>
    </w:p>
    <w:p w14:paraId="52F342A5" w14:textId="77A08195" w:rsidR="00C62BD3" w:rsidRPr="00C62BD3" w:rsidRDefault="00C62BD3" w:rsidP="00C62BD3">
      <w:pPr>
        <w:spacing w:after="0"/>
        <w:rPr>
          <w:lang w:val="pt-BR"/>
        </w:rPr>
      </w:pPr>
      <w:r w:rsidRPr="00C62BD3">
        <w:rPr>
          <w:lang w:val="pt-BR"/>
        </w:rPr>
        <w:t xml:space="preserve">E-Mail: </w:t>
      </w:r>
      <w:hyperlink r:id="rId18" w:history="1">
        <w:r w:rsidRPr="00C62BD3">
          <w:rPr>
            <w:rStyle w:val="Hyperlink"/>
            <w:lang w:val="pt-BR"/>
          </w:rPr>
          <w:t>riedler.kathrin@dihk.de</w:t>
        </w:r>
      </w:hyperlink>
    </w:p>
    <w:p w14:paraId="0FBFFC74" w14:textId="77777777" w:rsidR="007B02AD" w:rsidRPr="00C62BD3" w:rsidRDefault="007B02AD" w:rsidP="007B02AD">
      <w:pPr>
        <w:rPr>
          <w:lang w:val="pt-BR"/>
        </w:rPr>
      </w:pPr>
    </w:p>
    <w:sectPr w:rsidR="007B02AD" w:rsidRPr="00C62BD3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edler, Kathrin" w:date="2025-09-08T01:33:00Z" w:initials="RK">
    <w:p w14:paraId="361CFC20" w14:textId="66C1DA52" w:rsidR="00371A35" w:rsidRDefault="00371A35">
      <w:pPr>
        <w:pStyle w:val="Kommentartext"/>
      </w:pPr>
      <w:r>
        <w:rPr>
          <w:rStyle w:val="Kommentarzeichen"/>
        </w:rPr>
        <w:annotationRef/>
      </w:r>
      <w:r w:rsidRPr="78F03F5C">
        <w:t>Andere Vorschl</w:t>
      </w:r>
      <w:r w:rsidRPr="20398365">
        <w:t>ä</w:t>
      </w:r>
      <w:r w:rsidRPr="034C9A2A">
        <w:t>ge f</w:t>
      </w:r>
      <w:r w:rsidRPr="0FCD6282">
        <w:t>ü</w:t>
      </w:r>
      <w:r w:rsidRPr="3D586683">
        <w:t>r Bagatellgrenzen?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1CFC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56C56D" w16cex:dateUtc="2025-09-08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1CFC20" w16cid:durableId="4C56C5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08F7" w14:textId="77777777" w:rsidR="00F641D9" w:rsidRDefault="00F641D9" w:rsidP="008034E7">
      <w:pPr>
        <w:spacing w:after="0" w:line="240" w:lineRule="auto"/>
      </w:pPr>
      <w:r>
        <w:separator/>
      </w:r>
    </w:p>
  </w:endnote>
  <w:endnote w:type="continuationSeparator" w:id="0">
    <w:p w14:paraId="545DA1F9" w14:textId="77777777" w:rsidR="00F641D9" w:rsidRDefault="00F641D9" w:rsidP="0080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17414"/>
      <w:docPartObj>
        <w:docPartGallery w:val="Page Numbers (Bottom of Page)"/>
        <w:docPartUnique/>
      </w:docPartObj>
    </w:sdtPr>
    <w:sdtContent>
      <w:p w14:paraId="436D9F2F" w14:textId="3DA86AEA" w:rsidR="007040BB" w:rsidRDefault="007040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5A6DD" w14:textId="77777777" w:rsidR="007040BB" w:rsidRDefault="007040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59BE" w14:textId="77777777" w:rsidR="00F641D9" w:rsidRDefault="00F641D9" w:rsidP="008034E7">
      <w:pPr>
        <w:spacing w:after="0" w:line="240" w:lineRule="auto"/>
      </w:pPr>
      <w:r>
        <w:separator/>
      </w:r>
    </w:p>
  </w:footnote>
  <w:footnote w:type="continuationSeparator" w:id="0">
    <w:p w14:paraId="31F23362" w14:textId="77777777" w:rsidR="00F641D9" w:rsidRDefault="00F641D9" w:rsidP="008034E7">
      <w:pPr>
        <w:spacing w:after="0" w:line="240" w:lineRule="auto"/>
      </w:pPr>
      <w:r>
        <w:continuationSeparator/>
      </w:r>
    </w:p>
  </w:footnote>
  <w:footnote w:id="1">
    <w:p w14:paraId="6CCB1AFC" w14:textId="77E410C3" w:rsidR="00814FFF" w:rsidRPr="00814FFF" w:rsidRDefault="00814FFF">
      <w:pPr>
        <w:pStyle w:val="Funotentext"/>
        <w:rPr>
          <w:lang w:val="fr-BE"/>
        </w:rPr>
      </w:pPr>
      <w:r>
        <w:rPr>
          <w:rStyle w:val="Funotenzeichen"/>
        </w:rPr>
        <w:footnoteRef/>
      </w:r>
      <w:r w:rsidRPr="00814FFF">
        <w:rPr>
          <w:lang w:val="fr-BE"/>
        </w:rPr>
        <w:t xml:space="preserve"> </w:t>
      </w:r>
      <w:hyperlink r:id="rId1" w:history="1">
        <w:r w:rsidRPr="00814FFF">
          <w:rPr>
            <w:rStyle w:val="Hyperlink"/>
          </w:rPr>
          <w:t>10017eb1-4722-4333-add2-e0ed18105a34_en</w:t>
        </w:r>
      </w:hyperlink>
    </w:p>
  </w:footnote>
  <w:footnote w:id="2">
    <w:p w14:paraId="0C54F307" w14:textId="2B40CE32" w:rsidR="008763FE" w:rsidRPr="008763FE" w:rsidRDefault="008763FE">
      <w:pPr>
        <w:pStyle w:val="Funotentext"/>
      </w:pPr>
      <w:r>
        <w:rPr>
          <w:rStyle w:val="Funotenzeichen"/>
        </w:rPr>
        <w:footnoteRef/>
      </w:r>
      <w:r w:rsidRPr="008763FE">
        <w:t xml:space="preserve"> </w:t>
      </w:r>
      <w:r>
        <w:t xml:space="preserve">Der Stoff muss ein </w:t>
      </w:r>
      <w:r w:rsidRPr="008763FE">
        <w:t>Verwertungsverfahren durchlaufen haben, f</w:t>
      </w:r>
      <w:r w:rsidRPr="008763FE">
        <w:rPr>
          <w:rFonts w:hint="cs"/>
        </w:rPr>
        <w:t>ü</w:t>
      </w:r>
      <w:r w:rsidRPr="008763FE">
        <w:t>r einen bestimmten Verwendungszweck geeignet sein, eine Marktnachfrage bestehen, die technischen und rechtlichen Anforderungen erf</w:t>
      </w:r>
      <w:r w:rsidRPr="008763FE">
        <w:rPr>
          <w:rFonts w:hint="cs"/>
        </w:rPr>
        <w:t>ü</w:t>
      </w:r>
      <w:r w:rsidRPr="008763FE">
        <w:t>llen und seine Nutzung darf keine sch</w:t>
      </w:r>
      <w:r w:rsidRPr="008763FE">
        <w:rPr>
          <w:rFonts w:hint="cs"/>
        </w:rPr>
        <w:t>ä</w:t>
      </w:r>
      <w:r w:rsidRPr="008763FE">
        <w:t>dlichen Auswirkungen auf Mensch und Umwelt haben.</w:t>
      </w:r>
    </w:p>
  </w:footnote>
  <w:footnote w:id="3">
    <w:p w14:paraId="11C461D0" w14:textId="547ECE62" w:rsidR="000924B2" w:rsidRPr="000924B2" w:rsidRDefault="000924B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924B2">
        <w:rPr>
          <w:lang w:val="en-GB"/>
        </w:rPr>
        <w:t xml:space="preserve"> </w:t>
      </w:r>
      <w:r>
        <w:rPr>
          <w:lang w:val="en-GB"/>
        </w:rPr>
        <w:t>Substances of very high concern</w:t>
      </w:r>
    </w:p>
  </w:footnote>
  <w:footnote w:id="4">
    <w:p w14:paraId="16CE0A6D" w14:textId="732023BD" w:rsidR="003A5398" w:rsidRPr="003A5398" w:rsidRDefault="003A5398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3A5398">
        <w:rPr>
          <w:lang w:val="en-GB"/>
        </w:rPr>
        <w:t xml:space="preserve"> </w:t>
      </w:r>
      <w:hyperlink r:id="rId2" w:history="1">
        <w:r w:rsidRPr="003A5398">
          <w:rPr>
            <w:rStyle w:val="Hyperlink"/>
            <w:lang w:val="en-GB"/>
          </w:rPr>
          <w:t>New evaluation looks at how to improve WEEE Directive - European Commission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A62D" w14:textId="36E4B79F" w:rsidR="005D4E1B" w:rsidRDefault="47424B05" w:rsidP="47424B05">
    <w:pPr>
      <w:pStyle w:val="Kopfzeile"/>
    </w:pPr>
    <w:r>
      <w:t>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FF6"/>
    <w:multiLevelType w:val="hybridMultilevel"/>
    <w:tmpl w:val="1FE63CD8"/>
    <w:lvl w:ilvl="0" w:tplc="4F8621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F43"/>
    <w:multiLevelType w:val="hybridMultilevel"/>
    <w:tmpl w:val="F4727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FD4"/>
    <w:multiLevelType w:val="hybridMultilevel"/>
    <w:tmpl w:val="50926D12"/>
    <w:lvl w:ilvl="0" w:tplc="CF6AB4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5B"/>
    <w:multiLevelType w:val="hybridMultilevel"/>
    <w:tmpl w:val="F4727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767A9"/>
    <w:multiLevelType w:val="hybridMultilevel"/>
    <w:tmpl w:val="D68AED4E"/>
    <w:lvl w:ilvl="0" w:tplc="FB768A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B5655"/>
    <w:multiLevelType w:val="hybridMultilevel"/>
    <w:tmpl w:val="54D044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A32D4"/>
    <w:multiLevelType w:val="hybridMultilevel"/>
    <w:tmpl w:val="50540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40604"/>
    <w:multiLevelType w:val="hybridMultilevel"/>
    <w:tmpl w:val="B5949E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F0F25"/>
    <w:multiLevelType w:val="hybridMultilevel"/>
    <w:tmpl w:val="F4727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552B9"/>
    <w:multiLevelType w:val="hybridMultilevel"/>
    <w:tmpl w:val="44085C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99431">
    <w:abstractNumId w:val="5"/>
  </w:num>
  <w:num w:numId="2" w16cid:durableId="989670271">
    <w:abstractNumId w:val="6"/>
  </w:num>
  <w:num w:numId="3" w16cid:durableId="774639999">
    <w:abstractNumId w:val="1"/>
  </w:num>
  <w:num w:numId="4" w16cid:durableId="1061633000">
    <w:abstractNumId w:val="8"/>
  </w:num>
  <w:num w:numId="5" w16cid:durableId="1554002138">
    <w:abstractNumId w:val="2"/>
  </w:num>
  <w:num w:numId="6" w16cid:durableId="142547764">
    <w:abstractNumId w:val="7"/>
  </w:num>
  <w:num w:numId="7" w16cid:durableId="1276209813">
    <w:abstractNumId w:val="0"/>
  </w:num>
  <w:num w:numId="8" w16cid:durableId="1142192063">
    <w:abstractNumId w:val="9"/>
  </w:num>
  <w:num w:numId="9" w16cid:durableId="1778793909">
    <w:abstractNumId w:val="4"/>
  </w:num>
  <w:num w:numId="10" w16cid:durableId="10584987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edler, Kathrin">
    <w15:presenceInfo w15:providerId="AD" w15:userId="S::riedler.kathrin@dihk.de::5958c5b8-9cfb-4c89-bac1-8380c32d3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CC"/>
    <w:rsid w:val="000066B7"/>
    <w:rsid w:val="00010C43"/>
    <w:rsid w:val="00010C71"/>
    <w:rsid w:val="000200FE"/>
    <w:rsid w:val="00020AFF"/>
    <w:rsid w:val="00026D4F"/>
    <w:rsid w:val="00027689"/>
    <w:rsid w:val="0003445B"/>
    <w:rsid w:val="00042D99"/>
    <w:rsid w:val="00044EF5"/>
    <w:rsid w:val="000461E5"/>
    <w:rsid w:val="00046F7C"/>
    <w:rsid w:val="00047899"/>
    <w:rsid w:val="000500C2"/>
    <w:rsid w:val="00051DE4"/>
    <w:rsid w:val="00056404"/>
    <w:rsid w:val="00067B0E"/>
    <w:rsid w:val="0007079D"/>
    <w:rsid w:val="00071C0B"/>
    <w:rsid w:val="00077760"/>
    <w:rsid w:val="00084703"/>
    <w:rsid w:val="00084AD6"/>
    <w:rsid w:val="00085C92"/>
    <w:rsid w:val="000924B2"/>
    <w:rsid w:val="00094BED"/>
    <w:rsid w:val="00096E72"/>
    <w:rsid w:val="000A5228"/>
    <w:rsid w:val="000A5D1B"/>
    <w:rsid w:val="000A6782"/>
    <w:rsid w:val="000A73E6"/>
    <w:rsid w:val="000B54E6"/>
    <w:rsid w:val="000B6BF6"/>
    <w:rsid w:val="000C0813"/>
    <w:rsid w:val="000C1124"/>
    <w:rsid w:val="000C400B"/>
    <w:rsid w:val="000D0F30"/>
    <w:rsid w:val="000D3C90"/>
    <w:rsid w:val="000D7F1B"/>
    <w:rsid w:val="000E4B76"/>
    <w:rsid w:val="000E5739"/>
    <w:rsid w:val="000E7194"/>
    <w:rsid w:val="000F3ED8"/>
    <w:rsid w:val="000F7BD0"/>
    <w:rsid w:val="0010055B"/>
    <w:rsid w:val="00100F83"/>
    <w:rsid w:val="001136CC"/>
    <w:rsid w:val="00115717"/>
    <w:rsid w:val="00116AAB"/>
    <w:rsid w:val="00117EA2"/>
    <w:rsid w:val="00123383"/>
    <w:rsid w:val="001241BC"/>
    <w:rsid w:val="00126CD2"/>
    <w:rsid w:val="00131885"/>
    <w:rsid w:val="001323D2"/>
    <w:rsid w:val="001370B0"/>
    <w:rsid w:val="001503F1"/>
    <w:rsid w:val="00154A9C"/>
    <w:rsid w:val="0016749A"/>
    <w:rsid w:val="001710F4"/>
    <w:rsid w:val="001919D7"/>
    <w:rsid w:val="00197BF3"/>
    <w:rsid w:val="001A78F2"/>
    <w:rsid w:val="001B1894"/>
    <w:rsid w:val="001B19DA"/>
    <w:rsid w:val="001B4BFF"/>
    <w:rsid w:val="001B7DBB"/>
    <w:rsid w:val="001E6E4B"/>
    <w:rsid w:val="001F139A"/>
    <w:rsid w:val="001F61A9"/>
    <w:rsid w:val="001F64D4"/>
    <w:rsid w:val="001F68E3"/>
    <w:rsid w:val="001F6EBD"/>
    <w:rsid w:val="001F6FEB"/>
    <w:rsid w:val="00210B87"/>
    <w:rsid w:val="00212CE3"/>
    <w:rsid w:val="00213366"/>
    <w:rsid w:val="00223C09"/>
    <w:rsid w:val="00227E0C"/>
    <w:rsid w:val="002356C0"/>
    <w:rsid w:val="00235E01"/>
    <w:rsid w:val="00243288"/>
    <w:rsid w:val="0024392D"/>
    <w:rsid w:val="00250596"/>
    <w:rsid w:val="002509B3"/>
    <w:rsid w:val="00260C39"/>
    <w:rsid w:val="00260E0E"/>
    <w:rsid w:val="0027078B"/>
    <w:rsid w:val="00274384"/>
    <w:rsid w:val="002752AE"/>
    <w:rsid w:val="00286875"/>
    <w:rsid w:val="002901B7"/>
    <w:rsid w:val="002935F2"/>
    <w:rsid w:val="0029425A"/>
    <w:rsid w:val="0029740F"/>
    <w:rsid w:val="00297EF4"/>
    <w:rsid w:val="00297F30"/>
    <w:rsid w:val="002A5A8F"/>
    <w:rsid w:val="002A60A6"/>
    <w:rsid w:val="002B1032"/>
    <w:rsid w:val="002B6D14"/>
    <w:rsid w:val="002D2779"/>
    <w:rsid w:val="002E2579"/>
    <w:rsid w:val="002E54F9"/>
    <w:rsid w:val="002E63B0"/>
    <w:rsid w:val="002E71A7"/>
    <w:rsid w:val="002F3EFE"/>
    <w:rsid w:val="002F67C5"/>
    <w:rsid w:val="003047B4"/>
    <w:rsid w:val="00307E93"/>
    <w:rsid w:val="0031029B"/>
    <w:rsid w:val="00316CE2"/>
    <w:rsid w:val="00316FA3"/>
    <w:rsid w:val="0033520A"/>
    <w:rsid w:val="00340461"/>
    <w:rsid w:val="00347223"/>
    <w:rsid w:val="003473C9"/>
    <w:rsid w:val="00352BDB"/>
    <w:rsid w:val="00352EA7"/>
    <w:rsid w:val="00355F5B"/>
    <w:rsid w:val="003565DE"/>
    <w:rsid w:val="00364F5F"/>
    <w:rsid w:val="003678B1"/>
    <w:rsid w:val="00371A35"/>
    <w:rsid w:val="003771FB"/>
    <w:rsid w:val="003824D2"/>
    <w:rsid w:val="0038372B"/>
    <w:rsid w:val="00384F31"/>
    <w:rsid w:val="00385834"/>
    <w:rsid w:val="003866C0"/>
    <w:rsid w:val="00387451"/>
    <w:rsid w:val="00390491"/>
    <w:rsid w:val="0039089F"/>
    <w:rsid w:val="00392F7E"/>
    <w:rsid w:val="00394949"/>
    <w:rsid w:val="003A5398"/>
    <w:rsid w:val="003B7AE1"/>
    <w:rsid w:val="003C2262"/>
    <w:rsid w:val="003C518D"/>
    <w:rsid w:val="003D0561"/>
    <w:rsid w:val="003D3015"/>
    <w:rsid w:val="003D7621"/>
    <w:rsid w:val="003D7BBD"/>
    <w:rsid w:val="003E5458"/>
    <w:rsid w:val="003E642A"/>
    <w:rsid w:val="003E7A40"/>
    <w:rsid w:val="003F27FD"/>
    <w:rsid w:val="0040110A"/>
    <w:rsid w:val="00415180"/>
    <w:rsid w:val="00415E30"/>
    <w:rsid w:val="004210AC"/>
    <w:rsid w:val="00423825"/>
    <w:rsid w:val="004249FD"/>
    <w:rsid w:val="00426C2B"/>
    <w:rsid w:val="00434CA7"/>
    <w:rsid w:val="00436A1E"/>
    <w:rsid w:val="00452033"/>
    <w:rsid w:val="0045361E"/>
    <w:rsid w:val="0046129F"/>
    <w:rsid w:val="00467C7B"/>
    <w:rsid w:val="00473251"/>
    <w:rsid w:val="004827F1"/>
    <w:rsid w:val="00483B87"/>
    <w:rsid w:val="00492666"/>
    <w:rsid w:val="004959D6"/>
    <w:rsid w:val="004A4B6D"/>
    <w:rsid w:val="004A4D02"/>
    <w:rsid w:val="004A6094"/>
    <w:rsid w:val="004A6792"/>
    <w:rsid w:val="004A6E26"/>
    <w:rsid w:val="004B2405"/>
    <w:rsid w:val="004B247E"/>
    <w:rsid w:val="004B2C51"/>
    <w:rsid w:val="004B45C0"/>
    <w:rsid w:val="004C0637"/>
    <w:rsid w:val="004C6BF7"/>
    <w:rsid w:val="004D35A8"/>
    <w:rsid w:val="004E05CA"/>
    <w:rsid w:val="004E1F3F"/>
    <w:rsid w:val="004E7E40"/>
    <w:rsid w:val="004F17F3"/>
    <w:rsid w:val="004F32D8"/>
    <w:rsid w:val="004F5066"/>
    <w:rsid w:val="004F5E96"/>
    <w:rsid w:val="004F7107"/>
    <w:rsid w:val="00502CC1"/>
    <w:rsid w:val="0051245B"/>
    <w:rsid w:val="00513CE8"/>
    <w:rsid w:val="005141A4"/>
    <w:rsid w:val="005175AE"/>
    <w:rsid w:val="00526B7C"/>
    <w:rsid w:val="00527722"/>
    <w:rsid w:val="005337FB"/>
    <w:rsid w:val="00576724"/>
    <w:rsid w:val="00580215"/>
    <w:rsid w:val="0058149E"/>
    <w:rsid w:val="00584C4C"/>
    <w:rsid w:val="00585A90"/>
    <w:rsid w:val="00590242"/>
    <w:rsid w:val="00591A5C"/>
    <w:rsid w:val="00597DFB"/>
    <w:rsid w:val="005A4982"/>
    <w:rsid w:val="005A6A0C"/>
    <w:rsid w:val="005A7D48"/>
    <w:rsid w:val="005C1F82"/>
    <w:rsid w:val="005C5565"/>
    <w:rsid w:val="005D4E1B"/>
    <w:rsid w:val="005D5582"/>
    <w:rsid w:val="005D750F"/>
    <w:rsid w:val="005E21D8"/>
    <w:rsid w:val="005E4125"/>
    <w:rsid w:val="005E4958"/>
    <w:rsid w:val="005E6BF3"/>
    <w:rsid w:val="005E758D"/>
    <w:rsid w:val="005F519F"/>
    <w:rsid w:val="00602987"/>
    <w:rsid w:val="0061437A"/>
    <w:rsid w:val="00614436"/>
    <w:rsid w:val="00614682"/>
    <w:rsid w:val="00621079"/>
    <w:rsid w:val="00623FCD"/>
    <w:rsid w:val="00626287"/>
    <w:rsid w:val="0063788D"/>
    <w:rsid w:val="00654255"/>
    <w:rsid w:val="00654686"/>
    <w:rsid w:val="00655D06"/>
    <w:rsid w:val="0065620A"/>
    <w:rsid w:val="006609BD"/>
    <w:rsid w:val="0067216E"/>
    <w:rsid w:val="00677E38"/>
    <w:rsid w:val="0068564C"/>
    <w:rsid w:val="00686212"/>
    <w:rsid w:val="00691453"/>
    <w:rsid w:val="00695197"/>
    <w:rsid w:val="00697F80"/>
    <w:rsid w:val="006A1B59"/>
    <w:rsid w:val="006A789D"/>
    <w:rsid w:val="006B31B1"/>
    <w:rsid w:val="006C1D84"/>
    <w:rsid w:val="006C1F70"/>
    <w:rsid w:val="006C5550"/>
    <w:rsid w:val="006C575A"/>
    <w:rsid w:val="006E1909"/>
    <w:rsid w:val="006E1C83"/>
    <w:rsid w:val="006E70B6"/>
    <w:rsid w:val="006F0606"/>
    <w:rsid w:val="006F1885"/>
    <w:rsid w:val="006F38A9"/>
    <w:rsid w:val="007017B4"/>
    <w:rsid w:val="00704009"/>
    <w:rsid w:val="007040BB"/>
    <w:rsid w:val="00704D88"/>
    <w:rsid w:val="00714226"/>
    <w:rsid w:val="00723661"/>
    <w:rsid w:val="00723E3A"/>
    <w:rsid w:val="0072549C"/>
    <w:rsid w:val="0074235E"/>
    <w:rsid w:val="00742945"/>
    <w:rsid w:val="00752FFF"/>
    <w:rsid w:val="00753CEA"/>
    <w:rsid w:val="007630BC"/>
    <w:rsid w:val="00764EB2"/>
    <w:rsid w:val="0076773B"/>
    <w:rsid w:val="00784950"/>
    <w:rsid w:val="00795C53"/>
    <w:rsid w:val="007A192A"/>
    <w:rsid w:val="007A2DFB"/>
    <w:rsid w:val="007A66DF"/>
    <w:rsid w:val="007B02A2"/>
    <w:rsid w:val="007B02AD"/>
    <w:rsid w:val="007B6712"/>
    <w:rsid w:val="007C158B"/>
    <w:rsid w:val="007C4052"/>
    <w:rsid w:val="007C5733"/>
    <w:rsid w:val="007C68B1"/>
    <w:rsid w:val="007D02BB"/>
    <w:rsid w:val="007D24A2"/>
    <w:rsid w:val="007D687A"/>
    <w:rsid w:val="007D763E"/>
    <w:rsid w:val="007E0FF5"/>
    <w:rsid w:val="007E33AC"/>
    <w:rsid w:val="007E6F2A"/>
    <w:rsid w:val="007F0F21"/>
    <w:rsid w:val="007F1835"/>
    <w:rsid w:val="007F473A"/>
    <w:rsid w:val="00801DE3"/>
    <w:rsid w:val="008034E7"/>
    <w:rsid w:val="00806F41"/>
    <w:rsid w:val="00810F49"/>
    <w:rsid w:val="00814FFF"/>
    <w:rsid w:val="00817E7A"/>
    <w:rsid w:val="00833204"/>
    <w:rsid w:val="008340AF"/>
    <w:rsid w:val="00834386"/>
    <w:rsid w:val="00835DF9"/>
    <w:rsid w:val="0084047B"/>
    <w:rsid w:val="00841732"/>
    <w:rsid w:val="00845B02"/>
    <w:rsid w:val="00846876"/>
    <w:rsid w:val="00852C35"/>
    <w:rsid w:val="0086089C"/>
    <w:rsid w:val="0086386E"/>
    <w:rsid w:val="00866BEB"/>
    <w:rsid w:val="008670BE"/>
    <w:rsid w:val="00871286"/>
    <w:rsid w:val="00871C74"/>
    <w:rsid w:val="008763FE"/>
    <w:rsid w:val="00882AE9"/>
    <w:rsid w:val="0088364D"/>
    <w:rsid w:val="00885726"/>
    <w:rsid w:val="0088590F"/>
    <w:rsid w:val="008925A7"/>
    <w:rsid w:val="008A0934"/>
    <w:rsid w:val="008A0AD4"/>
    <w:rsid w:val="008A111F"/>
    <w:rsid w:val="008A6B7E"/>
    <w:rsid w:val="008B1043"/>
    <w:rsid w:val="008B2249"/>
    <w:rsid w:val="008C2DBB"/>
    <w:rsid w:val="008C5B42"/>
    <w:rsid w:val="008D17D3"/>
    <w:rsid w:val="008F3427"/>
    <w:rsid w:val="008F5333"/>
    <w:rsid w:val="00901B7D"/>
    <w:rsid w:val="00902683"/>
    <w:rsid w:val="00903CC4"/>
    <w:rsid w:val="00906AAC"/>
    <w:rsid w:val="00910C8E"/>
    <w:rsid w:val="00914E42"/>
    <w:rsid w:val="0091505A"/>
    <w:rsid w:val="0091563F"/>
    <w:rsid w:val="009163AC"/>
    <w:rsid w:val="009304E2"/>
    <w:rsid w:val="009379BE"/>
    <w:rsid w:val="009469A1"/>
    <w:rsid w:val="0094740B"/>
    <w:rsid w:val="00951E47"/>
    <w:rsid w:val="009564F0"/>
    <w:rsid w:val="00965ADD"/>
    <w:rsid w:val="009728F8"/>
    <w:rsid w:val="00977B82"/>
    <w:rsid w:val="0098380F"/>
    <w:rsid w:val="00990F54"/>
    <w:rsid w:val="00997CFC"/>
    <w:rsid w:val="009A210C"/>
    <w:rsid w:val="009B00DC"/>
    <w:rsid w:val="009B3496"/>
    <w:rsid w:val="009B698F"/>
    <w:rsid w:val="009B7A87"/>
    <w:rsid w:val="009C0EFE"/>
    <w:rsid w:val="009C2DBF"/>
    <w:rsid w:val="009C3B87"/>
    <w:rsid w:val="009D12E7"/>
    <w:rsid w:val="009D42D8"/>
    <w:rsid w:val="009D7C82"/>
    <w:rsid w:val="009E0B0D"/>
    <w:rsid w:val="009F7B4D"/>
    <w:rsid w:val="009F7E9E"/>
    <w:rsid w:val="00A035D5"/>
    <w:rsid w:val="00A0440B"/>
    <w:rsid w:val="00A07BA9"/>
    <w:rsid w:val="00A116F7"/>
    <w:rsid w:val="00A308DE"/>
    <w:rsid w:val="00A30B75"/>
    <w:rsid w:val="00A372F0"/>
    <w:rsid w:val="00A42C95"/>
    <w:rsid w:val="00A44D8E"/>
    <w:rsid w:val="00A473D6"/>
    <w:rsid w:val="00A53BCB"/>
    <w:rsid w:val="00A60292"/>
    <w:rsid w:val="00A6142E"/>
    <w:rsid w:val="00A6753E"/>
    <w:rsid w:val="00A73E13"/>
    <w:rsid w:val="00A75462"/>
    <w:rsid w:val="00A7754D"/>
    <w:rsid w:val="00A775AB"/>
    <w:rsid w:val="00A8047B"/>
    <w:rsid w:val="00A81E44"/>
    <w:rsid w:val="00A8376E"/>
    <w:rsid w:val="00A86095"/>
    <w:rsid w:val="00A86A82"/>
    <w:rsid w:val="00A93EDE"/>
    <w:rsid w:val="00AA4DB5"/>
    <w:rsid w:val="00AA5269"/>
    <w:rsid w:val="00AB09D9"/>
    <w:rsid w:val="00AC207A"/>
    <w:rsid w:val="00AC5A5E"/>
    <w:rsid w:val="00AC670A"/>
    <w:rsid w:val="00AE09FD"/>
    <w:rsid w:val="00AE2657"/>
    <w:rsid w:val="00AE3653"/>
    <w:rsid w:val="00AE503B"/>
    <w:rsid w:val="00AF019B"/>
    <w:rsid w:val="00AF248E"/>
    <w:rsid w:val="00B01DD9"/>
    <w:rsid w:val="00B054A7"/>
    <w:rsid w:val="00B06982"/>
    <w:rsid w:val="00B13595"/>
    <w:rsid w:val="00B20044"/>
    <w:rsid w:val="00B26851"/>
    <w:rsid w:val="00B27F43"/>
    <w:rsid w:val="00B33E45"/>
    <w:rsid w:val="00B43000"/>
    <w:rsid w:val="00B433D6"/>
    <w:rsid w:val="00B4654B"/>
    <w:rsid w:val="00B636FE"/>
    <w:rsid w:val="00B75723"/>
    <w:rsid w:val="00B851B6"/>
    <w:rsid w:val="00B968E4"/>
    <w:rsid w:val="00B97CDD"/>
    <w:rsid w:val="00BA21F0"/>
    <w:rsid w:val="00BA5BA0"/>
    <w:rsid w:val="00BA6C20"/>
    <w:rsid w:val="00BB3253"/>
    <w:rsid w:val="00BC7FDA"/>
    <w:rsid w:val="00BD00B7"/>
    <w:rsid w:val="00BD64E3"/>
    <w:rsid w:val="00BE0BD6"/>
    <w:rsid w:val="00BE4128"/>
    <w:rsid w:val="00BE7D90"/>
    <w:rsid w:val="00BF5C97"/>
    <w:rsid w:val="00C11363"/>
    <w:rsid w:val="00C12E5B"/>
    <w:rsid w:val="00C1670E"/>
    <w:rsid w:val="00C17D73"/>
    <w:rsid w:val="00C214DE"/>
    <w:rsid w:val="00C26C8C"/>
    <w:rsid w:val="00C30073"/>
    <w:rsid w:val="00C33431"/>
    <w:rsid w:val="00C34BF3"/>
    <w:rsid w:val="00C36A7E"/>
    <w:rsid w:val="00C419C3"/>
    <w:rsid w:val="00C424AB"/>
    <w:rsid w:val="00C45516"/>
    <w:rsid w:val="00C4757C"/>
    <w:rsid w:val="00C542E6"/>
    <w:rsid w:val="00C57545"/>
    <w:rsid w:val="00C604A0"/>
    <w:rsid w:val="00C6157A"/>
    <w:rsid w:val="00C62BD3"/>
    <w:rsid w:val="00C64917"/>
    <w:rsid w:val="00C7106A"/>
    <w:rsid w:val="00C719C2"/>
    <w:rsid w:val="00C83AB7"/>
    <w:rsid w:val="00C93D55"/>
    <w:rsid w:val="00CA0C3A"/>
    <w:rsid w:val="00CA39F7"/>
    <w:rsid w:val="00CA5862"/>
    <w:rsid w:val="00CA78F7"/>
    <w:rsid w:val="00CB306D"/>
    <w:rsid w:val="00CB3365"/>
    <w:rsid w:val="00CB4341"/>
    <w:rsid w:val="00CB7EDC"/>
    <w:rsid w:val="00CC2CF1"/>
    <w:rsid w:val="00CC3E07"/>
    <w:rsid w:val="00CD223A"/>
    <w:rsid w:val="00CD29E3"/>
    <w:rsid w:val="00CD3351"/>
    <w:rsid w:val="00CE18FD"/>
    <w:rsid w:val="00CE2BEC"/>
    <w:rsid w:val="00CE5925"/>
    <w:rsid w:val="00CE79FD"/>
    <w:rsid w:val="00CF2E13"/>
    <w:rsid w:val="00CF5905"/>
    <w:rsid w:val="00CF7929"/>
    <w:rsid w:val="00D00074"/>
    <w:rsid w:val="00D03581"/>
    <w:rsid w:val="00D04B35"/>
    <w:rsid w:val="00D15E08"/>
    <w:rsid w:val="00D20714"/>
    <w:rsid w:val="00D34A01"/>
    <w:rsid w:val="00D34C9D"/>
    <w:rsid w:val="00D43C2D"/>
    <w:rsid w:val="00D46816"/>
    <w:rsid w:val="00D525B8"/>
    <w:rsid w:val="00D53BFF"/>
    <w:rsid w:val="00D602BA"/>
    <w:rsid w:val="00D66563"/>
    <w:rsid w:val="00D861AC"/>
    <w:rsid w:val="00D86B70"/>
    <w:rsid w:val="00D877F4"/>
    <w:rsid w:val="00D91920"/>
    <w:rsid w:val="00D972E4"/>
    <w:rsid w:val="00DA1EDE"/>
    <w:rsid w:val="00DA7734"/>
    <w:rsid w:val="00DB4206"/>
    <w:rsid w:val="00DC23A5"/>
    <w:rsid w:val="00DC24A7"/>
    <w:rsid w:val="00DC736E"/>
    <w:rsid w:val="00DD49C2"/>
    <w:rsid w:val="00DE26BF"/>
    <w:rsid w:val="00DE4327"/>
    <w:rsid w:val="00DF34BA"/>
    <w:rsid w:val="00DF4578"/>
    <w:rsid w:val="00DF6410"/>
    <w:rsid w:val="00E022E1"/>
    <w:rsid w:val="00E045E6"/>
    <w:rsid w:val="00E0539C"/>
    <w:rsid w:val="00E05DD9"/>
    <w:rsid w:val="00E123FC"/>
    <w:rsid w:val="00E131E4"/>
    <w:rsid w:val="00E14A6F"/>
    <w:rsid w:val="00E268DB"/>
    <w:rsid w:val="00E437B0"/>
    <w:rsid w:val="00E44AAE"/>
    <w:rsid w:val="00E50DD4"/>
    <w:rsid w:val="00E57DB9"/>
    <w:rsid w:val="00E70270"/>
    <w:rsid w:val="00E708E2"/>
    <w:rsid w:val="00E744AF"/>
    <w:rsid w:val="00E86328"/>
    <w:rsid w:val="00E954F6"/>
    <w:rsid w:val="00E9566E"/>
    <w:rsid w:val="00E96C6D"/>
    <w:rsid w:val="00E97A6B"/>
    <w:rsid w:val="00EA0B3A"/>
    <w:rsid w:val="00EA3779"/>
    <w:rsid w:val="00EA4C2C"/>
    <w:rsid w:val="00EA7D8D"/>
    <w:rsid w:val="00EB3382"/>
    <w:rsid w:val="00EC2A58"/>
    <w:rsid w:val="00EC369B"/>
    <w:rsid w:val="00ED2A16"/>
    <w:rsid w:val="00EE0E6C"/>
    <w:rsid w:val="00EE244E"/>
    <w:rsid w:val="00EE6B7D"/>
    <w:rsid w:val="00EF48E9"/>
    <w:rsid w:val="00F031DE"/>
    <w:rsid w:val="00F05677"/>
    <w:rsid w:val="00F108CA"/>
    <w:rsid w:val="00F26095"/>
    <w:rsid w:val="00F326EF"/>
    <w:rsid w:val="00F33C1E"/>
    <w:rsid w:val="00F34701"/>
    <w:rsid w:val="00F35559"/>
    <w:rsid w:val="00F3671C"/>
    <w:rsid w:val="00F37CD0"/>
    <w:rsid w:val="00F4480E"/>
    <w:rsid w:val="00F47E2A"/>
    <w:rsid w:val="00F526AA"/>
    <w:rsid w:val="00F63E9C"/>
    <w:rsid w:val="00F641D9"/>
    <w:rsid w:val="00F70EFA"/>
    <w:rsid w:val="00F7669C"/>
    <w:rsid w:val="00F84F38"/>
    <w:rsid w:val="00F951E6"/>
    <w:rsid w:val="00FA1AE0"/>
    <w:rsid w:val="00FA3558"/>
    <w:rsid w:val="00FA7DF9"/>
    <w:rsid w:val="00FB0616"/>
    <w:rsid w:val="00FB2B12"/>
    <w:rsid w:val="00FB5F32"/>
    <w:rsid w:val="00FC4BE2"/>
    <w:rsid w:val="00FC4F57"/>
    <w:rsid w:val="00FD1FCF"/>
    <w:rsid w:val="00FD382F"/>
    <w:rsid w:val="00FD7A28"/>
    <w:rsid w:val="00FE1BFE"/>
    <w:rsid w:val="0122F191"/>
    <w:rsid w:val="01FD2823"/>
    <w:rsid w:val="0314FE37"/>
    <w:rsid w:val="05E9C7E2"/>
    <w:rsid w:val="063E2DD0"/>
    <w:rsid w:val="07A2C29F"/>
    <w:rsid w:val="08338979"/>
    <w:rsid w:val="0880FDF0"/>
    <w:rsid w:val="08F26084"/>
    <w:rsid w:val="0A53CCE4"/>
    <w:rsid w:val="0B7854E9"/>
    <w:rsid w:val="0DF253BF"/>
    <w:rsid w:val="0EF5EC2E"/>
    <w:rsid w:val="0FE932B9"/>
    <w:rsid w:val="129A7437"/>
    <w:rsid w:val="1302A67D"/>
    <w:rsid w:val="1442D2CA"/>
    <w:rsid w:val="144BC59D"/>
    <w:rsid w:val="17274F0B"/>
    <w:rsid w:val="17481A17"/>
    <w:rsid w:val="17CC2A84"/>
    <w:rsid w:val="181B6A2C"/>
    <w:rsid w:val="18D121C6"/>
    <w:rsid w:val="19C584B7"/>
    <w:rsid w:val="1AF4077D"/>
    <w:rsid w:val="1AFEB70B"/>
    <w:rsid w:val="1B5FA1B9"/>
    <w:rsid w:val="1D774516"/>
    <w:rsid w:val="1E92CE17"/>
    <w:rsid w:val="1F072947"/>
    <w:rsid w:val="1F73814D"/>
    <w:rsid w:val="1F7AB3FF"/>
    <w:rsid w:val="21C82B3B"/>
    <w:rsid w:val="22DAD492"/>
    <w:rsid w:val="236EDC74"/>
    <w:rsid w:val="2394F98A"/>
    <w:rsid w:val="2651E575"/>
    <w:rsid w:val="26686052"/>
    <w:rsid w:val="26740A9E"/>
    <w:rsid w:val="27C3295E"/>
    <w:rsid w:val="280876C6"/>
    <w:rsid w:val="2A6940F3"/>
    <w:rsid w:val="2A995CA9"/>
    <w:rsid w:val="2AE23186"/>
    <w:rsid w:val="2B20C8F5"/>
    <w:rsid w:val="2B2B56E1"/>
    <w:rsid w:val="2C0FB814"/>
    <w:rsid w:val="2D04C625"/>
    <w:rsid w:val="2DB283D4"/>
    <w:rsid w:val="313352DF"/>
    <w:rsid w:val="31C2EAAF"/>
    <w:rsid w:val="31DA21FC"/>
    <w:rsid w:val="3212DE04"/>
    <w:rsid w:val="33B7D829"/>
    <w:rsid w:val="349E5D2B"/>
    <w:rsid w:val="34A02E6A"/>
    <w:rsid w:val="37498285"/>
    <w:rsid w:val="395CD0EA"/>
    <w:rsid w:val="3AA97FBE"/>
    <w:rsid w:val="3B72C611"/>
    <w:rsid w:val="3BE7A858"/>
    <w:rsid w:val="3DB6124E"/>
    <w:rsid w:val="3EECDA81"/>
    <w:rsid w:val="3EFACF40"/>
    <w:rsid w:val="3FAE8436"/>
    <w:rsid w:val="42607E82"/>
    <w:rsid w:val="4376467D"/>
    <w:rsid w:val="439BAF0C"/>
    <w:rsid w:val="451FE3B9"/>
    <w:rsid w:val="45826EC8"/>
    <w:rsid w:val="45957E16"/>
    <w:rsid w:val="467D7C13"/>
    <w:rsid w:val="46B9CB85"/>
    <w:rsid w:val="46DAF691"/>
    <w:rsid w:val="4731372A"/>
    <w:rsid w:val="47424B05"/>
    <w:rsid w:val="47CF6E2D"/>
    <w:rsid w:val="47EEA50E"/>
    <w:rsid w:val="480BB453"/>
    <w:rsid w:val="485F15D8"/>
    <w:rsid w:val="48952CFC"/>
    <w:rsid w:val="48ECB5E9"/>
    <w:rsid w:val="498DFB9B"/>
    <w:rsid w:val="49C6B01B"/>
    <w:rsid w:val="525E1B93"/>
    <w:rsid w:val="531A1EAA"/>
    <w:rsid w:val="5829A92B"/>
    <w:rsid w:val="5AAA32CE"/>
    <w:rsid w:val="5ABCAFC8"/>
    <w:rsid w:val="5C876B0D"/>
    <w:rsid w:val="5D3BD14D"/>
    <w:rsid w:val="5F5A2483"/>
    <w:rsid w:val="612B1558"/>
    <w:rsid w:val="613F2BE9"/>
    <w:rsid w:val="635A99D5"/>
    <w:rsid w:val="653DB348"/>
    <w:rsid w:val="6611B3D8"/>
    <w:rsid w:val="67033F48"/>
    <w:rsid w:val="68C3E509"/>
    <w:rsid w:val="6A31EB9A"/>
    <w:rsid w:val="6B0F2A43"/>
    <w:rsid w:val="6B7A5890"/>
    <w:rsid w:val="6C3B41EE"/>
    <w:rsid w:val="6E39CA8F"/>
    <w:rsid w:val="6E57F450"/>
    <w:rsid w:val="70C25218"/>
    <w:rsid w:val="710E66E1"/>
    <w:rsid w:val="7170B384"/>
    <w:rsid w:val="72F3699D"/>
    <w:rsid w:val="7348D304"/>
    <w:rsid w:val="73B6F4B1"/>
    <w:rsid w:val="76E0864B"/>
    <w:rsid w:val="77C7B11A"/>
    <w:rsid w:val="77D0ECD1"/>
    <w:rsid w:val="791F6AF9"/>
    <w:rsid w:val="7AAABD82"/>
    <w:rsid w:val="7B610AAD"/>
    <w:rsid w:val="7E6748B3"/>
    <w:rsid w:val="7F4E1163"/>
    <w:rsid w:val="7FA19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78C8"/>
  <w15:chartTrackingRefBased/>
  <w15:docId w15:val="{973EF14D-6579-4252-B13E-B0A49672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36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36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36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36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36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36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36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36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36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36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36CC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34E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34E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034E7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034E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34E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09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09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09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09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9F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04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0BB"/>
  </w:style>
  <w:style w:type="paragraph" w:styleId="Fuzeile">
    <w:name w:val="footer"/>
    <w:basedOn w:val="Standard"/>
    <w:link w:val="FuzeileZchn"/>
    <w:uiPriority w:val="99"/>
    <w:unhideWhenUsed/>
    <w:rsid w:val="00704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0BB"/>
  </w:style>
  <w:style w:type="character" w:styleId="BesuchterLink">
    <w:name w:val="FollowedHyperlink"/>
    <w:basedOn w:val="Absatz-Standardschriftart"/>
    <w:uiPriority w:val="99"/>
    <w:semiHidden/>
    <w:unhideWhenUsed/>
    <w:rsid w:val="00DF4578"/>
    <w:rPr>
      <w:color w:val="96607D" w:themeColor="followedHyperlink"/>
      <w:u w:val="single"/>
    </w:rPr>
  </w:style>
  <w:style w:type="table" w:styleId="Tabellenraster">
    <w:name w:val="Table Grid"/>
    <w:basedOn w:val="NormaleTabelle"/>
    <w:uiPriority w:val="39"/>
    <w:rsid w:val="0091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hk.sharepoint.com/sites/EUI/Shared%20Documents/12_Umwelt/Circular%20Economy/Circular%20economy%20act/&#214;ffentliche%20Konsultierung%20Circular%20Economy%20Act/eur-lex.europa.eu/legal-content/DE/TXT/PDF/?uri=CELEX:32008L0098" TargetMode="External"/><Relationship Id="rId18" Type="http://schemas.openxmlformats.org/officeDocument/2006/relationships/hyperlink" Target="mailto:kathrin.riedler@dihk.d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riedler.kathrin@dihk.de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law/better-regulation/have-your-say/initiatives/14812-Circular-Economy-Act_en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nvironment.ec.europa.eu/news/new-evaluation-looks-how-improve-weee-directive-2025-07-02_en" TargetMode="External"/><Relationship Id="rId1" Type="http://schemas.openxmlformats.org/officeDocument/2006/relationships/hyperlink" Target="https://commission.europa.eu/document/download/10017eb1-4722-4333-add2-e0ed18105a34_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8CEA0356654690A6FAFBF743B82D" ma:contentTypeVersion="19" ma:contentTypeDescription="Create a new document." ma:contentTypeScope="" ma:versionID="d18216d3368caf9e33ddfb42d5744468">
  <xsd:schema xmlns:xsd="http://www.w3.org/2001/XMLSchema" xmlns:xs="http://www.w3.org/2001/XMLSchema" xmlns:p="http://schemas.microsoft.com/office/2006/metadata/properties" xmlns:ns2="0b95be40-15e3-45b2-992d-35ac3cde79ab" xmlns:ns3="f4381c1d-ea85-42ce-9f9c-5e7853ef013a" targetNamespace="http://schemas.microsoft.com/office/2006/metadata/properties" ma:root="true" ma:fieldsID="58c628bbc0f7c08b9075d7a9ec4de7c5" ns2:_="" ns3:_="">
    <xsd:import namespace="0b95be40-15e3-45b2-992d-35ac3cde79ab"/>
    <xsd:import namespace="f4381c1d-ea85-42ce-9f9c-5e7853ef0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Editor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be40-15e3-45b2-992d-35ac3cde7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Editor" ma:index="10" nillable="true" ma:taxonomy="true" ma:internalName="deEditor" ma:taxonomyFieldName="MediaServiceImageTags" ma:displayName="Image Tags" ma:readOnly="false" ma:fieldId="{5cf76f15-5ced-4ddc-b409-7134ff3c332f}" ma:taxonomyMulti="true" ma:sspId="cccd6185-6eb9-4b95-86cf-a6a5a3cb0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81c1d-ea85-42ce-9f9c-5e7853ef0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f2425e-de5b-453f-88fe-61c676615831}" ma:internalName="TaxCatchAll" ma:showField="CatchAllData" ma:web="f4381c1d-ea85-42ce-9f9c-5e7853ef0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81c1d-ea85-42ce-9f9c-5e7853ef013a" xsi:nil="true"/>
    <deEditor xmlns="0b95be40-15e3-45b2-992d-35ac3cde79ab">
      <Terms xmlns="http://schemas.microsoft.com/office/infopath/2007/PartnerControls"/>
    </deEdi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A5C6D-488C-4FA0-9EFC-88C9FF0B9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be40-15e3-45b2-992d-35ac3cde79ab"/>
    <ds:schemaRef ds:uri="f4381c1d-ea85-42ce-9f9c-5e7853ef0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3A67E-296D-4CFA-B94E-15598751BF6C}">
  <ds:schemaRefs>
    <ds:schemaRef ds:uri="http://schemas.microsoft.com/office/2006/documentManagement/types"/>
    <ds:schemaRef ds:uri="http://purl.org/dc/elements/1.1/"/>
    <ds:schemaRef ds:uri="0b95be40-15e3-45b2-992d-35ac3cde79ab"/>
    <ds:schemaRef ds:uri="f4381c1d-ea85-42ce-9f9c-5e7853ef013a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F83F62-E1DD-4EA4-8508-1D0364001E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8FC97-48A7-4206-9BC0-AB0573E4A1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ce85b8-47fd-49a6-b7d7-c9c27be489ba}" enabled="0" method="" siteId="{11ce85b8-47fd-49a6-b7d7-c9c27be489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2676</Words>
  <Characters>16865</Characters>
  <Application>Microsoft Office Word</Application>
  <DocSecurity>0</DocSecurity>
  <Lines>140</Lines>
  <Paragraphs>39</Paragraphs>
  <ScaleCrop>false</ScaleCrop>
  <Company/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Riedler, Kathrin</dc:creator>
  <cp:keywords/>
  <dc:description/>
  <cp:lastModifiedBy>Riedler, Kathrin</cp:lastModifiedBy>
  <cp:revision>2</cp:revision>
  <dcterms:created xsi:type="dcterms:W3CDTF">2025-09-11T14:20:00Z</dcterms:created>
  <dcterms:modified xsi:type="dcterms:W3CDTF">2025-09-11T14:20:00Z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0x01010040B68CEA0356654690A6FAFBF743B82D</vt:lpwstr>
  </property>
  <property fmtid="{D5CDD505-2E9C-101B-9397-08002B2CF9AE}" pid="3" name="MediaServiceImageTags">
    <vt:lpwstr/>
  </property>
</Properties>
</file>