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B9A0" w14:textId="4C3BF10F" w:rsidR="005559B5" w:rsidRPr="005559B5" w:rsidRDefault="00831102">
      <w:pPr>
        <w:rPr>
          <w:rFonts w:ascii="Arial" w:hAnsi="Arial" w:cs="Arial"/>
        </w:rPr>
      </w:pPr>
      <w:r>
        <w:rPr>
          <w:rFonts w:ascii="Arial" w:hAnsi="Arial" w:cs="Arial"/>
        </w:rPr>
        <w:t>Vorschläge für konkreten Bürokratieabbau im Umweltbereich</w:t>
      </w:r>
    </w:p>
    <w:p w14:paraId="3EB083D1" w14:textId="75939B55" w:rsidR="00CA04BF" w:rsidRPr="002F6FB6" w:rsidRDefault="00831102">
      <w:pPr>
        <w:rPr>
          <w:rFonts w:ascii="Arial" w:hAnsi="Arial" w:cs="Arial"/>
          <w:sz w:val="22"/>
          <w:szCs w:val="22"/>
        </w:rPr>
      </w:pPr>
      <w:r w:rsidRPr="00831102">
        <w:rPr>
          <w:rFonts w:ascii="Arial" w:hAnsi="Arial" w:cs="Arial"/>
          <w:sz w:val="22"/>
          <w:szCs w:val="22"/>
        </w:rPr>
        <w:t xml:space="preserve">Das </w:t>
      </w:r>
      <w:r>
        <w:rPr>
          <w:rFonts w:ascii="Arial" w:hAnsi="Arial" w:cs="Arial"/>
          <w:sz w:val="22"/>
          <w:szCs w:val="22"/>
        </w:rPr>
        <w:t xml:space="preserve">europäische und deutsche Umweltrecht besteht aus einer </w:t>
      </w:r>
      <w:r w:rsidR="00F13BDE">
        <w:rPr>
          <w:rFonts w:ascii="Arial" w:hAnsi="Arial" w:cs="Arial"/>
          <w:sz w:val="22"/>
          <w:szCs w:val="22"/>
        </w:rPr>
        <w:t xml:space="preserve">unüberschaubaren Zahl an Pflichten in Form von Genehmigungen oder Zulassungen und </w:t>
      </w:r>
      <w:r w:rsidR="007E4194">
        <w:rPr>
          <w:rFonts w:ascii="Arial" w:hAnsi="Arial" w:cs="Arial"/>
          <w:sz w:val="22"/>
          <w:szCs w:val="22"/>
        </w:rPr>
        <w:t xml:space="preserve">Melde-, </w:t>
      </w:r>
      <w:r w:rsidR="00F13BDE">
        <w:rPr>
          <w:rFonts w:ascii="Arial" w:hAnsi="Arial" w:cs="Arial"/>
          <w:sz w:val="22"/>
          <w:szCs w:val="22"/>
        </w:rPr>
        <w:t>Berichts-, Registrierungs- oder Dokumentationspflichten</w:t>
      </w:r>
      <w:r w:rsidR="007E4194">
        <w:rPr>
          <w:rFonts w:ascii="Arial" w:hAnsi="Arial" w:cs="Arial"/>
          <w:sz w:val="22"/>
          <w:szCs w:val="22"/>
        </w:rPr>
        <w:t xml:space="preserve">. Um </w:t>
      </w:r>
      <w:r w:rsidR="006766CA">
        <w:rPr>
          <w:rFonts w:ascii="Arial" w:hAnsi="Arial" w:cs="Arial"/>
          <w:sz w:val="22"/>
          <w:szCs w:val="22"/>
        </w:rPr>
        <w:t xml:space="preserve">zu einem für Unternehmen in allen Branchen spürbaren Bürokratieabbau </w:t>
      </w:r>
      <w:r w:rsidR="0065643F">
        <w:rPr>
          <w:rFonts w:ascii="Arial" w:hAnsi="Arial" w:cs="Arial"/>
          <w:sz w:val="22"/>
          <w:szCs w:val="22"/>
        </w:rPr>
        <w:t xml:space="preserve">zu gelangen, müssten die bestehenden Pflichten </w:t>
      </w:r>
      <w:r w:rsidR="001254CF">
        <w:rPr>
          <w:rFonts w:ascii="Arial" w:hAnsi="Arial" w:cs="Arial"/>
          <w:sz w:val="22"/>
          <w:szCs w:val="22"/>
        </w:rPr>
        <w:t>vollständig</w:t>
      </w:r>
      <w:r w:rsidR="00912575">
        <w:rPr>
          <w:rFonts w:ascii="Arial" w:hAnsi="Arial" w:cs="Arial"/>
          <w:sz w:val="22"/>
          <w:szCs w:val="22"/>
        </w:rPr>
        <w:t xml:space="preserve"> analysiert und abgebaut werden. </w:t>
      </w:r>
      <w:r w:rsidR="001254CF">
        <w:rPr>
          <w:rFonts w:ascii="Arial" w:hAnsi="Arial" w:cs="Arial"/>
          <w:sz w:val="22"/>
          <w:szCs w:val="22"/>
        </w:rPr>
        <w:t xml:space="preserve">Diesen Anspruch erhebt die hier erstellte Liste nicht. Sie trägt </w:t>
      </w:r>
      <w:r w:rsidR="00F0517F">
        <w:rPr>
          <w:rFonts w:ascii="Arial" w:hAnsi="Arial" w:cs="Arial"/>
          <w:sz w:val="22"/>
          <w:szCs w:val="22"/>
        </w:rPr>
        <w:t xml:space="preserve">Vorschriften unterschiedlicher Form zusammen, die Kolleginnen und Kollegen der IHKs in </w:t>
      </w:r>
      <w:r w:rsidR="00856923">
        <w:rPr>
          <w:rFonts w:ascii="Arial" w:hAnsi="Arial" w:cs="Arial"/>
          <w:sz w:val="22"/>
          <w:szCs w:val="22"/>
        </w:rPr>
        <w:t>Ihrer Beratungspraxis als besonders unnötig oder unverhältnismäßig aufgefallen sin</w:t>
      </w:r>
      <w:r w:rsidR="002F6FB6">
        <w:rPr>
          <w:rFonts w:ascii="Arial" w:hAnsi="Arial" w:cs="Arial"/>
          <w:sz w:val="22"/>
          <w:szCs w:val="22"/>
        </w:rPr>
        <w:t>d</w:t>
      </w:r>
      <w:r w:rsidR="00856923">
        <w:rPr>
          <w:rFonts w:ascii="Arial" w:hAnsi="Arial" w:cs="Arial"/>
          <w:sz w:val="22"/>
          <w:szCs w:val="22"/>
        </w:rPr>
        <w:t>.</w:t>
      </w:r>
    </w:p>
    <w:tbl>
      <w:tblPr>
        <w:tblStyle w:val="Tabellenraster"/>
        <w:tblW w:w="14597" w:type="dxa"/>
        <w:tblLayout w:type="fixed"/>
        <w:tblLook w:val="04A0" w:firstRow="1" w:lastRow="0" w:firstColumn="1" w:lastColumn="0" w:noHBand="0" w:noVBand="1"/>
      </w:tblPr>
      <w:tblGrid>
        <w:gridCol w:w="988"/>
        <w:gridCol w:w="1842"/>
        <w:gridCol w:w="1418"/>
        <w:gridCol w:w="4536"/>
        <w:gridCol w:w="2835"/>
        <w:gridCol w:w="2978"/>
      </w:tblGrid>
      <w:tr w:rsidR="00CC58A3" w:rsidRPr="0051385D" w14:paraId="6C3A7542" w14:textId="77777777" w:rsidTr="005559B5">
        <w:trPr>
          <w:trHeight w:val="1275"/>
        </w:trPr>
        <w:tc>
          <w:tcPr>
            <w:tcW w:w="988" w:type="dxa"/>
            <w:vAlign w:val="center"/>
          </w:tcPr>
          <w:p w14:paraId="370AA4B2" w14:textId="5139E47C" w:rsidR="0051385D" w:rsidRPr="0051385D" w:rsidRDefault="0051385D" w:rsidP="005559B5">
            <w:pPr>
              <w:jc w:val="both"/>
              <w:rPr>
                <w:rFonts w:ascii="Arial" w:hAnsi="Arial" w:cs="Arial"/>
                <w:b/>
                <w:bCs/>
                <w:sz w:val="18"/>
                <w:szCs w:val="18"/>
              </w:rPr>
            </w:pPr>
            <w:r w:rsidRPr="0051385D">
              <w:rPr>
                <w:rFonts w:ascii="Arial" w:eastAsia="Times New Roman" w:hAnsi="Arial" w:cs="Arial"/>
                <w:b/>
                <w:bCs/>
                <w:sz w:val="18"/>
                <w:szCs w:val="18"/>
              </w:rPr>
              <w:t xml:space="preserve">Ressort </w:t>
            </w:r>
          </w:p>
        </w:tc>
        <w:tc>
          <w:tcPr>
            <w:tcW w:w="1842" w:type="dxa"/>
            <w:vAlign w:val="center"/>
          </w:tcPr>
          <w:p w14:paraId="2E5D0839" w14:textId="63F43D21" w:rsidR="0051385D" w:rsidRPr="0051385D" w:rsidRDefault="0051385D" w:rsidP="005559B5">
            <w:pPr>
              <w:jc w:val="both"/>
              <w:rPr>
                <w:rFonts w:ascii="Arial" w:hAnsi="Arial" w:cs="Arial"/>
                <w:b/>
                <w:bCs/>
                <w:sz w:val="18"/>
                <w:szCs w:val="18"/>
              </w:rPr>
            </w:pPr>
            <w:r w:rsidRPr="0051385D">
              <w:rPr>
                <w:rFonts w:ascii="Arial" w:eastAsia="Times New Roman" w:hAnsi="Arial" w:cs="Arial"/>
                <w:b/>
                <w:bCs/>
                <w:sz w:val="18"/>
                <w:szCs w:val="18"/>
              </w:rPr>
              <w:t>Kurzbezeichnung</w:t>
            </w:r>
          </w:p>
        </w:tc>
        <w:tc>
          <w:tcPr>
            <w:tcW w:w="1418" w:type="dxa"/>
            <w:vAlign w:val="center"/>
          </w:tcPr>
          <w:p w14:paraId="42113817" w14:textId="6F2545CE" w:rsidR="0051385D" w:rsidRPr="0051385D" w:rsidRDefault="0051385D" w:rsidP="005559B5">
            <w:pPr>
              <w:jc w:val="both"/>
              <w:rPr>
                <w:rFonts w:ascii="Arial" w:hAnsi="Arial" w:cs="Arial"/>
                <w:b/>
                <w:bCs/>
                <w:sz w:val="18"/>
                <w:szCs w:val="18"/>
              </w:rPr>
            </w:pPr>
            <w:r w:rsidRPr="0051385D">
              <w:rPr>
                <w:rFonts w:ascii="Arial" w:eastAsia="Times New Roman" w:hAnsi="Arial" w:cs="Arial"/>
                <w:b/>
                <w:bCs/>
                <w:sz w:val="18"/>
                <w:szCs w:val="18"/>
              </w:rPr>
              <w:t>Betroffene Paragraphen</w:t>
            </w:r>
          </w:p>
        </w:tc>
        <w:tc>
          <w:tcPr>
            <w:tcW w:w="4536" w:type="dxa"/>
            <w:vAlign w:val="center"/>
          </w:tcPr>
          <w:p w14:paraId="67FBE7DC" w14:textId="77777777" w:rsidR="0051385D" w:rsidRPr="0051385D" w:rsidRDefault="0051385D" w:rsidP="005559B5">
            <w:pPr>
              <w:spacing w:after="3"/>
              <w:rPr>
                <w:rFonts w:ascii="Arial" w:hAnsi="Arial" w:cs="Arial"/>
                <w:b/>
                <w:bCs/>
                <w:sz w:val="18"/>
                <w:szCs w:val="18"/>
              </w:rPr>
            </w:pPr>
            <w:r w:rsidRPr="0051385D">
              <w:rPr>
                <w:rFonts w:ascii="Arial" w:eastAsia="Times New Roman" w:hAnsi="Arial" w:cs="Arial"/>
                <w:b/>
                <w:bCs/>
                <w:sz w:val="18"/>
                <w:szCs w:val="18"/>
              </w:rPr>
              <w:t xml:space="preserve">Welche Belastung wird durch die Norm verursacht? (Bspw. Berichtspflichten, </w:t>
            </w:r>
          </w:p>
          <w:p w14:paraId="29A1ABD7" w14:textId="45FADA5C" w:rsidR="0051385D" w:rsidRPr="0051385D" w:rsidRDefault="0051385D" w:rsidP="005559B5">
            <w:pPr>
              <w:jc w:val="both"/>
              <w:rPr>
                <w:rFonts w:ascii="Arial" w:hAnsi="Arial" w:cs="Arial"/>
                <w:b/>
                <w:bCs/>
                <w:sz w:val="18"/>
                <w:szCs w:val="18"/>
              </w:rPr>
            </w:pPr>
            <w:r w:rsidRPr="0051385D">
              <w:rPr>
                <w:rFonts w:ascii="Arial" w:eastAsia="Times New Roman" w:hAnsi="Arial" w:cs="Arial"/>
                <w:b/>
                <w:bCs/>
                <w:sz w:val="18"/>
                <w:szCs w:val="18"/>
              </w:rPr>
              <w:t>Datenspeicherung, etc.)</w:t>
            </w:r>
          </w:p>
        </w:tc>
        <w:tc>
          <w:tcPr>
            <w:tcW w:w="2835" w:type="dxa"/>
            <w:vAlign w:val="center"/>
          </w:tcPr>
          <w:p w14:paraId="3A4A16A5" w14:textId="4397C36E" w:rsidR="0051385D" w:rsidRPr="0051385D" w:rsidRDefault="0051385D" w:rsidP="005559B5">
            <w:pPr>
              <w:jc w:val="both"/>
              <w:rPr>
                <w:rFonts w:ascii="Arial" w:hAnsi="Arial" w:cs="Arial"/>
                <w:b/>
                <w:bCs/>
                <w:sz w:val="18"/>
                <w:szCs w:val="18"/>
              </w:rPr>
            </w:pPr>
            <w:r w:rsidRPr="0051385D">
              <w:rPr>
                <w:rFonts w:ascii="Arial" w:eastAsia="Times New Roman" w:hAnsi="Arial" w:cs="Arial"/>
                <w:b/>
                <w:bCs/>
                <w:sz w:val="18"/>
                <w:szCs w:val="18"/>
              </w:rPr>
              <w:t>Wie kann der Zweck unbürokratischer erreicht werden ohne (Schutz)standards zu senken?</w:t>
            </w:r>
          </w:p>
        </w:tc>
        <w:tc>
          <w:tcPr>
            <w:tcW w:w="2978" w:type="dxa"/>
            <w:vAlign w:val="center"/>
          </w:tcPr>
          <w:p w14:paraId="475392FB" w14:textId="30311BCB" w:rsidR="0051385D" w:rsidRPr="0051385D" w:rsidRDefault="0051385D" w:rsidP="005559B5">
            <w:pPr>
              <w:jc w:val="both"/>
              <w:rPr>
                <w:rFonts w:ascii="Arial" w:hAnsi="Arial" w:cs="Arial"/>
                <w:b/>
                <w:bCs/>
                <w:sz w:val="18"/>
                <w:szCs w:val="18"/>
              </w:rPr>
            </w:pPr>
            <w:r w:rsidRPr="0051385D">
              <w:rPr>
                <w:rFonts w:ascii="Arial" w:eastAsia="Times New Roman" w:hAnsi="Arial" w:cs="Arial"/>
                <w:b/>
                <w:bCs/>
                <w:sz w:val="18"/>
                <w:szCs w:val="18"/>
              </w:rPr>
              <w:t>Welcher Effekt soll eintreten? Gibt es Referenzprojekte?</w:t>
            </w:r>
          </w:p>
        </w:tc>
      </w:tr>
      <w:tr w:rsidR="00CC58A3" w:rsidRPr="0051385D" w14:paraId="0156D2E2" w14:textId="77777777" w:rsidTr="005559B5">
        <w:trPr>
          <w:trHeight w:val="2102"/>
        </w:trPr>
        <w:tc>
          <w:tcPr>
            <w:tcW w:w="988" w:type="dxa"/>
          </w:tcPr>
          <w:p w14:paraId="19B14929" w14:textId="26EA413A" w:rsidR="0051385D" w:rsidRPr="0051385D" w:rsidRDefault="00617382" w:rsidP="005559B5">
            <w:pPr>
              <w:rPr>
                <w:rFonts w:ascii="Arial" w:hAnsi="Arial" w:cs="Arial"/>
                <w:sz w:val="18"/>
                <w:szCs w:val="18"/>
              </w:rPr>
            </w:pPr>
            <w:r>
              <w:rPr>
                <w:rFonts w:ascii="Arial" w:hAnsi="Arial" w:cs="Arial"/>
                <w:sz w:val="18"/>
                <w:szCs w:val="18"/>
              </w:rPr>
              <w:t>BMUV</w:t>
            </w:r>
          </w:p>
        </w:tc>
        <w:tc>
          <w:tcPr>
            <w:tcW w:w="1842" w:type="dxa"/>
          </w:tcPr>
          <w:p w14:paraId="415057D3" w14:textId="685D5DBB" w:rsidR="0051385D" w:rsidRPr="0051385D" w:rsidRDefault="00617382" w:rsidP="005559B5">
            <w:pPr>
              <w:rPr>
                <w:rFonts w:ascii="Arial" w:hAnsi="Arial" w:cs="Arial"/>
                <w:sz w:val="18"/>
                <w:szCs w:val="18"/>
              </w:rPr>
            </w:pPr>
            <w:r w:rsidRPr="00617382">
              <w:rPr>
                <w:rFonts w:ascii="Arial" w:hAnsi="Arial" w:cs="Arial"/>
                <w:sz w:val="18"/>
                <w:szCs w:val="18"/>
              </w:rPr>
              <w:t>Erweiterte Registrierungs</w:t>
            </w:r>
            <w:r w:rsidR="009F50CE">
              <w:rPr>
                <w:rFonts w:ascii="Arial" w:hAnsi="Arial" w:cs="Arial"/>
                <w:sz w:val="18"/>
                <w:szCs w:val="18"/>
              </w:rPr>
              <w:t>-</w:t>
            </w:r>
            <w:r w:rsidRPr="00617382">
              <w:rPr>
                <w:rFonts w:ascii="Arial" w:hAnsi="Arial" w:cs="Arial"/>
                <w:sz w:val="18"/>
                <w:szCs w:val="18"/>
              </w:rPr>
              <w:t>pflichten im Verpackungs</w:t>
            </w:r>
            <w:r w:rsidR="009F50CE">
              <w:rPr>
                <w:rFonts w:ascii="Arial" w:hAnsi="Arial" w:cs="Arial"/>
                <w:sz w:val="18"/>
                <w:szCs w:val="18"/>
              </w:rPr>
              <w:t>-</w:t>
            </w:r>
            <w:r w:rsidRPr="00617382">
              <w:rPr>
                <w:rFonts w:ascii="Arial" w:hAnsi="Arial" w:cs="Arial"/>
                <w:sz w:val="18"/>
                <w:szCs w:val="18"/>
              </w:rPr>
              <w:t>register („LUCID“)</w:t>
            </w:r>
          </w:p>
        </w:tc>
        <w:tc>
          <w:tcPr>
            <w:tcW w:w="1418" w:type="dxa"/>
          </w:tcPr>
          <w:p w14:paraId="424620C1" w14:textId="31E530F3" w:rsidR="0051385D" w:rsidRPr="0051385D" w:rsidRDefault="0051385D" w:rsidP="005559B5">
            <w:pPr>
              <w:rPr>
                <w:rFonts w:ascii="Arial" w:hAnsi="Arial" w:cs="Arial"/>
                <w:sz w:val="18"/>
                <w:szCs w:val="18"/>
              </w:rPr>
            </w:pPr>
            <w:r w:rsidRPr="0051385D">
              <w:rPr>
                <w:rFonts w:ascii="Arial" w:hAnsi="Arial" w:cs="Arial"/>
                <w:sz w:val="18"/>
                <w:szCs w:val="18"/>
              </w:rPr>
              <w:t>§ 9 Abs. 1, § 7 Abs. 2 S. 3 VerpackG</w:t>
            </w:r>
          </w:p>
        </w:tc>
        <w:tc>
          <w:tcPr>
            <w:tcW w:w="4536" w:type="dxa"/>
          </w:tcPr>
          <w:p w14:paraId="1763638F" w14:textId="479DB306" w:rsidR="0051385D" w:rsidRPr="0051385D" w:rsidRDefault="0051385D" w:rsidP="005559B5">
            <w:pPr>
              <w:rPr>
                <w:rFonts w:ascii="Arial" w:hAnsi="Arial" w:cs="Arial"/>
                <w:sz w:val="18"/>
                <w:szCs w:val="18"/>
              </w:rPr>
            </w:pPr>
            <w:r w:rsidRPr="0051385D">
              <w:rPr>
                <w:rFonts w:ascii="Arial" w:hAnsi="Arial" w:cs="Arial"/>
                <w:sz w:val="18"/>
                <w:szCs w:val="18"/>
              </w:rPr>
              <w:t xml:space="preserve">Registrierungspflicht </w:t>
            </w:r>
            <w:r>
              <w:rPr>
                <w:rFonts w:ascii="Arial" w:hAnsi="Arial" w:cs="Arial"/>
                <w:sz w:val="18"/>
                <w:szCs w:val="18"/>
              </w:rPr>
              <w:t>für mit Waren befüllte Verpackungen</w:t>
            </w:r>
            <w:r w:rsidRPr="0051385D">
              <w:rPr>
                <w:rFonts w:ascii="Arial" w:hAnsi="Arial" w:cs="Arial"/>
                <w:sz w:val="18"/>
                <w:szCs w:val="18"/>
              </w:rPr>
              <w:t xml:space="preserve">. </w:t>
            </w:r>
            <w:r>
              <w:rPr>
                <w:rFonts w:ascii="Arial" w:hAnsi="Arial" w:cs="Arial"/>
                <w:sz w:val="18"/>
                <w:szCs w:val="18"/>
              </w:rPr>
              <w:t xml:space="preserve">Da es keine Bagatellschwelle gibt ist ein Großteil der Unternehmen aus dem verarbeitenden Gewerbe und Handel betroffen. Sie müssen jährlich </w:t>
            </w:r>
            <w:r w:rsidRPr="0051385D">
              <w:rPr>
                <w:rFonts w:ascii="Arial" w:hAnsi="Arial" w:cs="Arial"/>
                <w:sz w:val="18"/>
                <w:szCs w:val="18"/>
              </w:rPr>
              <w:t>Verpackungsarten, Mengen, Marken etc.</w:t>
            </w:r>
            <w:r>
              <w:rPr>
                <w:rFonts w:ascii="Arial" w:hAnsi="Arial" w:cs="Arial"/>
                <w:sz w:val="18"/>
                <w:szCs w:val="18"/>
              </w:rPr>
              <w:t xml:space="preserve"> ermitteln und melden</w:t>
            </w:r>
            <w:r w:rsidRPr="0051385D">
              <w:rPr>
                <w:rFonts w:ascii="Arial" w:hAnsi="Arial" w:cs="Arial"/>
                <w:sz w:val="18"/>
                <w:szCs w:val="18"/>
              </w:rPr>
              <w:t xml:space="preserve">. Dadurch entsteht ein beträchtlicher Aufwand in Form personeller Kapazitäten. </w:t>
            </w:r>
          </w:p>
        </w:tc>
        <w:tc>
          <w:tcPr>
            <w:tcW w:w="2835" w:type="dxa"/>
          </w:tcPr>
          <w:p w14:paraId="5AEF1773" w14:textId="23924E69" w:rsidR="0051385D" w:rsidRPr="0051385D" w:rsidRDefault="0051385D" w:rsidP="005559B5">
            <w:pPr>
              <w:rPr>
                <w:rFonts w:ascii="Arial" w:hAnsi="Arial" w:cs="Arial"/>
                <w:sz w:val="18"/>
                <w:szCs w:val="18"/>
              </w:rPr>
            </w:pPr>
            <w:r>
              <w:rPr>
                <w:rFonts w:ascii="Arial" w:hAnsi="Arial" w:cs="Arial"/>
                <w:sz w:val="18"/>
                <w:szCs w:val="18"/>
              </w:rPr>
              <w:t xml:space="preserve">Da die Rücknahme und die Verwertung der meisten der Verpackungen als sogenannte Verkaufs-verpackung bei einem dualen System angemeldet werden muss, kann diese Anmeldung als Registrierung gelten. </w:t>
            </w:r>
          </w:p>
        </w:tc>
        <w:tc>
          <w:tcPr>
            <w:tcW w:w="2978" w:type="dxa"/>
          </w:tcPr>
          <w:p w14:paraId="216380F4" w14:textId="372372C4" w:rsidR="0051385D" w:rsidRPr="0051385D" w:rsidRDefault="0051385D" w:rsidP="005559B5">
            <w:pPr>
              <w:rPr>
                <w:rFonts w:ascii="Arial" w:hAnsi="Arial" w:cs="Arial"/>
                <w:sz w:val="18"/>
                <w:szCs w:val="18"/>
              </w:rPr>
            </w:pPr>
            <w:r>
              <w:rPr>
                <w:rFonts w:ascii="Arial" w:hAnsi="Arial" w:cs="Arial"/>
                <w:sz w:val="18"/>
                <w:szCs w:val="18"/>
              </w:rPr>
              <w:t xml:space="preserve">Die Registrierungspflicht entfällt. Der Vollzug leidet nicht. Unternehmen, die große Mengen Verpackungen in den Verkehr bringen, müssen </w:t>
            </w:r>
            <w:r w:rsidRPr="0051385D">
              <w:rPr>
                <w:rFonts w:ascii="Arial" w:hAnsi="Arial" w:cs="Arial"/>
                <w:sz w:val="18"/>
                <w:szCs w:val="18"/>
              </w:rPr>
              <w:t>Vollständigkeitserklärung für das Vorjahr</w:t>
            </w:r>
            <w:r>
              <w:rPr>
                <w:rFonts w:ascii="Arial" w:hAnsi="Arial" w:cs="Arial"/>
                <w:sz w:val="18"/>
                <w:szCs w:val="18"/>
              </w:rPr>
              <w:t xml:space="preserve"> abgegeben werden, die r</w:t>
            </w:r>
            <w:r w:rsidRPr="0051385D">
              <w:rPr>
                <w:rFonts w:ascii="Arial" w:hAnsi="Arial" w:cs="Arial"/>
                <w:sz w:val="18"/>
                <w:szCs w:val="18"/>
              </w:rPr>
              <w:t>egistrierte Prüfer testiert</w:t>
            </w:r>
            <w:r>
              <w:rPr>
                <w:rFonts w:ascii="Arial" w:hAnsi="Arial" w:cs="Arial"/>
                <w:sz w:val="18"/>
                <w:szCs w:val="18"/>
              </w:rPr>
              <w:t xml:space="preserve"> werden.</w:t>
            </w:r>
          </w:p>
        </w:tc>
      </w:tr>
      <w:tr w:rsidR="00CC58A3" w:rsidRPr="0051385D" w14:paraId="73097EBF" w14:textId="77777777" w:rsidTr="005559B5">
        <w:trPr>
          <w:trHeight w:val="2835"/>
        </w:trPr>
        <w:tc>
          <w:tcPr>
            <w:tcW w:w="988" w:type="dxa"/>
          </w:tcPr>
          <w:p w14:paraId="275F619C" w14:textId="7AB474A5" w:rsidR="0051385D" w:rsidRPr="0051385D" w:rsidRDefault="00CC292B" w:rsidP="005559B5">
            <w:pPr>
              <w:rPr>
                <w:rFonts w:ascii="Arial" w:hAnsi="Arial" w:cs="Arial"/>
                <w:sz w:val="18"/>
                <w:szCs w:val="18"/>
              </w:rPr>
            </w:pPr>
            <w:r>
              <w:rPr>
                <w:rFonts w:ascii="Arial" w:hAnsi="Arial" w:cs="Arial"/>
                <w:sz w:val="18"/>
                <w:szCs w:val="18"/>
              </w:rPr>
              <w:t>DG Clima</w:t>
            </w:r>
          </w:p>
        </w:tc>
        <w:tc>
          <w:tcPr>
            <w:tcW w:w="1842" w:type="dxa"/>
          </w:tcPr>
          <w:p w14:paraId="11307724" w14:textId="63998D8C" w:rsidR="0051385D" w:rsidRPr="0051385D" w:rsidRDefault="00361F0F" w:rsidP="005559B5">
            <w:pPr>
              <w:rPr>
                <w:rFonts w:ascii="Arial" w:hAnsi="Arial" w:cs="Arial"/>
                <w:sz w:val="18"/>
                <w:szCs w:val="18"/>
              </w:rPr>
            </w:pPr>
            <w:r w:rsidRPr="00FE616B">
              <w:rPr>
                <w:rFonts w:ascii="Arial" w:hAnsi="Arial" w:cs="Arial"/>
                <w:sz w:val="18"/>
                <w:szCs w:val="18"/>
              </w:rPr>
              <w:t>F-Gase-Portal</w:t>
            </w:r>
          </w:p>
        </w:tc>
        <w:tc>
          <w:tcPr>
            <w:tcW w:w="1418" w:type="dxa"/>
          </w:tcPr>
          <w:p w14:paraId="200E4727" w14:textId="6EC467E5" w:rsidR="0051385D" w:rsidRDefault="009F50CE" w:rsidP="005559B5">
            <w:pPr>
              <w:rPr>
                <w:rFonts w:ascii="Arial" w:hAnsi="Arial" w:cs="Arial"/>
                <w:sz w:val="18"/>
                <w:szCs w:val="18"/>
              </w:rPr>
            </w:pPr>
            <w:r>
              <w:rPr>
                <w:rFonts w:ascii="Arial" w:hAnsi="Arial" w:cs="Arial"/>
                <w:sz w:val="18"/>
                <w:szCs w:val="18"/>
              </w:rPr>
              <w:t xml:space="preserve">Artikel 20 Absatz </w:t>
            </w:r>
            <w:r w:rsidR="006D7210">
              <w:rPr>
                <w:rFonts w:ascii="Arial" w:hAnsi="Arial" w:cs="Arial"/>
                <w:sz w:val="18"/>
                <w:szCs w:val="18"/>
              </w:rPr>
              <w:t xml:space="preserve">4 </w:t>
            </w:r>
            <w:r w:rsidR="006D7210">
              <w:rPr>
                <w:rFonts w:ascii="Arial" w:hAnsi="Arial" w:cs="Arial"/>
                <w:sz w:val="18"/>
                <w:szCs w:val="18"/>
              </w:rPr>
              <w:br/>
            </w:r>
            <w:r w:rsidR="00B34D74" w:rsidRPr="00B34D74">
              <w:rPr>
                <w:rFonts w:ascii="Arial" w:hAnsi="Arial" w:cs="Arial"/>
                <w:sz w:val="18"/>
                <w:szCs w:val="18"/>
              </w:rPr>
              <w:t>Verordnung (EU) 2024/573 über fluorierte Treibhausgase</w:t>
            </w:r>
          </w:p>
          <w:p w14:paraId="0B574EE9" w14:textId="41206C09" w:rsidR="009F50CE" w:rsidRPr="0051385D" w:rsidRDefault="009F50CE" w:rsidP="005559B5">
            <w:pPr>
              <w:rPr>
                <w:rFonts w:ascii="Arial" w:hAnsi="Arial" w:cs="Arial"/>
                <w:sz w:val="18"/>
                <w:szCs w:val="18"/>
              </w:rPr>
            </w:pPr>
          </w:p>
        </w:tc>
        <w:tc>
          <w:tcPr>
            <w:tcW w:w="4536" w:type="dxa"/>
          </w:tcPr>
          <w:p w14:paraId="2F7B0847" w14:textId="0BB291D7" w:rsidR="0051385D" w:rsidRPr="0051385D" w:rsidRDefault="00E070D9" w:rsidP="005559B5">
            <w:pPr>
              <w:rPr>
                <w:rFonts w:ascii="Arial" w:hAnsi="Arial" w:cs="Arial"/>
                <w:sz w:val="18"/>
                <w:szCs w:val="18"/>
              </w:rPr>
            </w:pPr>
            <w:r w:rsidRPr="00E070D9">
              <w:rPr>
                <w:rFonts w:ascii="Arial" w:hAnsi="Arial" w:cs="Arial"/>
                <w:sz w:val="18"/>
                <w:szCs w:val="18"/>
              </w:rPr>
              <w:t>Unternehmen</w:t>
            </w:r>
            <w:r w:rsidR="00040CEE">
              <w:rPr>
                <w:rFonts w:ascii="Arial" w:hAnsi="Arial" w:cs="Arial"/>
                <w:sz w:val="18"/>
                <w:szCs w:val="18"/>
              </w:rPr>
              <w:t xml:space="preserve"> müssen zur </w:t>
            </w:r>
            <w:r w:rsidR="00040CEE" w:rsidRPr="00040CEE">
              <w:rPr>
                <w:rFonts w:ascii="Arial" w:hAnsi="Arial" w:cs="Arial"/>
                <w:sz w:val="18"/>
                <w:szCs w:val="18"/>
              </w:rPr>
              <w:t xml:space="preserve">Ein- oder Ausfuhr von </w:t>
            </w:r>
            <w:r w:rsidR="00040CEE">
              <w:rPr>
                <w:rFonts w:ascii="Arial" w:hAnsi="Arial" w:cs="Arial"/>
                <w:sz w:val="18"/>
                <w:szCs w:val="18"/>
              </w:rPr>
              <w:t>Waren</w:t>
            </w:r>
            <w:r w:rsidR="00040CEE" w:rsidRPr="00040CEE">
              <w:rPr>
                <w:rFonts w:ascii="Arial" w:hAnsi="Arial" w:cs="Arial"/>
                <w:sz w:val="18"/>
                <w:szCs w:val="18"/>
              </w:rPr>
              <w:t>, die fluorierte Treibhausgase enthalten,</w:t>
            </w:r>
            <w:r w:rsidRPr="00E070D9">
              <w:rPr>
                <w:rFonts w:ascii="Arial" w:hAnsi="Arial" w:cs="Arial"/>
                <w:sz w:val="18"/>
                <w:szCs w:val="18"/>
              </w:rPr>
              <w:t xml:space="preserve"> über eine gültige Registrierung im F-Gas-Portal</w:t>
            </w:r>
            <w:r w:rsidR="00040CEE">
              <w:rPr>
                <w:rFonts w:ascii="Arial" w:hAnsi="Arial" w:cs="Arial"/>
                <w:sz w:val="18"/>
                <w:szCs w:val="18"/>
              </w:rPr>
              <w:t xml:space="preserve"> verfügen. Dies betrifft </w:t>
            </w:r>
            <w:r w:rsidR="00AD7F06">
              <w:rPr>
                <w:rFonts w:ascii="Arial" w:hAnsi="Arial" w:cs="Arial"/>
                <w:sz w:val="18"/>
                <w:szCs w:val="18"/>
              </w:rPr>
              <w:t xml:space="preserve">bspw. den Export von </w:t>
            </w:r>
            <w:r w:rsidR="00040CEE">
              <w:rPr>
                <w:rFonts w:ascii="Arial" w:hAnsi="Arial" w:cs="Arial"/>
                <w:sz w:val="18"/>
                <w:szCs w:val="18"/>
              </w:rPr>
              <w:t xml:space="preserve">Gebrauchtwagen, </w:t>
            </w:r>
            <w:r w:rsidR="00AD7F06">
              <w:rPr>
                <w:rFonts w:ascii="Arial" w:hAnsi="Arial" w:cs="Arial"/>
                <w:sz w:val="18"/>
                <w:szCs w:val="18"/>
              </w:rPr>
              <w:t xml:space="preserve">Medizinprodukten oder Flugzeugen. Für die Registrierung müssen Bankbestätigungen oder Kontoauszüge eingereicht werden, die Validierung durch die Kommission </w:t>
            </w:r>
            <w:r w:rsidR="00981EEE">
              <w:rPr>
                <w:rFonts w:ascii="Arial" w:hAnsi="Arial" w:cs="Arial"/>
                <w:sz w:val="18"/>
                <w:szCs w:val="18"/>
              </w:rPr>
              <w:t>benötigt</w:t>
            </w:r>
            <w:r w:rsidR="00AD7F06">
              <w:rPr>
                <w:rFonts w:ascii="Arial" w:hAnsi="Arial" w:cs="Arial"/>
                <w:sz w:val="18"/>
                <w:szCs w:val="18"/>
              </w:rPr>
              <w:t xml:space="preserve"> mehr als 10 Tage.</w:t>
            </w:r>
            <w:r w:rsidR="00CC58A3">
              <w:rPr>
                <w:rFonts w:ascii="Arial" w:hAnsi="Arial" w:cs="Arial"/>
                <w:sz w:val="18"/>
                <w:szCs w:val="18"/>
              </w:rPr>
              <w:t xml:space="preserve"> Durch die Kontrollen bei der Zollanmeldung kommt es zu erheblichen Verzögerungen. Insbesondere beim Export oder Import, für die keine Quote erworben werden muss, erscheint die Regelung unnütz.</w:t>
            </w:r>
          </w:p>
        </w:tc>
        <w:tc>
          <w:tcPr>
            <w:tcW w:w="2835" w:type="dxa"/>
          </w:tcPr>
          <w:p w14:paraId="1DF95826" w14:textId="0EC04222" w:rsidR="0051385D" w:rsidRPr="0051385D" w:rsidRDefault="00E63A3C" w:rsidP="005559B5">
            <w:pPr>
              <w:rPr>
                <w:rFonts w:ascii="Arial" w:hAnsi="Arial" w:cs="Arial"/>
                <w:sz w:val="18"/>
                <w:szCs w:val="18"/>
              </w:rPr>
            </w:pPr>
            <w:r>
              <w:rPr>
                <w:rFonts w:ascii="Arial" w:hAnsi="Arial" w:cs="Arial"/>
                <w:sz w:val="18"/>
                <w:szCs w:val="18"/>
              </w:rPr>
              <w:t>Die Pflicht sollte mindestens für solche Waren gestrichen werden, für die Unternehmen keine Quotenzuteilung nachweisen müssen.</w:t>
            </w:r>
            <w:r w:rsidR="000C69EE">
              <w:rPr>
                <w:rFonts w:ascii="Arial" w:hAnsi="Arial" w:cs="Arial"/>
                <w:sz w:val="18"/>
                <w:szCs w:val="18"/>
              </w:rPr>
              <w:t xml:space="preserve"> </w:t>
            </w:r>
            <w:r w:rsidR="00F0574B">
              <w:rPr>
                <w:rFonts w:ascii="Arial" w:hAnsi="Arial" w:cs="Arial"/>
                <w:sz w:val="18"/>
                <w:szCs w:val="18"/>
              </w:rPr>
              <w:t xml:space="preserve">Die Registrierung sollte stark vereinfacht werden </w:t>
            </w:r>
            <w:r w:rsidR="0035514B">
              <w:rPr>
                <w:rFonts w:ascii="Arial" w:hAnsi="Arial" w:cs="Arial"/>
                <w:sz w:val="18"/>
                <w:szCs w:val="18"/>
              </w:rPr>
              <w:t>bspw. durch Abgleich der Steuernummer.</w:t>
            </w:r>
            <w:r w:rsidR="00F0574B">
              <w:rPr>
                <w:rFonts w:ascii="Arial" w:hAnsi="Arial" w:cs="Arial"/>
                <w:sz w:val="18"/>
                <w:szCs w:val="18"/>
              </w:rPr>
              <w:t xml:space="preserve"> </w:t>
            </w:r>
          </w:p>
        </w:tc>
        <w:tc>
          <w:tcPr>
            <w:tcW w:w="2978" w:type="dxa"/>
          </w:tcPr>
          <w:p w14:paraId="01B760CE" w14:textId="52DB3ED6" w:rsidR="0051385D" w:rsidRPr="0051385D" w:rsidRDefault="00DC54A3" w:rsidP="005559B5">
            <w:pPr>
              <w:rPr>
                <w:rFonts w:ascii="Arial" w:hAnsi="Arial" w:cs="Arial"/>
                <w:sz w:val="18"/>
                <w:szCs w:val="18"/>
              </w:rPr>
            </w:pPr>
            <w:r>
              <w:rPr>
                <w:rFonts w:ascii="Arial" w:hAnsi="Arial" w:cs="Arial"/>
                <w:sz w:val="18"/>
                <w:szCs w:val="18"/>
              </w:rPr>
              <w:t xml:space="preserve">Der freie Warenverkehr betroffener Waren wird wieder sichergestellt. Bürokratiekosten werden </w:t>
            </w:r>
            <w:r w:rsidR="00A432E8">
              <w:rPr>
                <w:rFonts w:ascii="Arial" w:hAnsi="Arial" w:cs="Arial"/>
                <w:sz w:val="18"/>
                <w:szCs w:val="18"/>
              </w:rPr>
              <w:t>vermieden</w:t>
            </w:r>
            <w:r>
              <w:rPr>
                <w:rFonts w:ascii="Arial" w:hAnsi="Arial" w:cs="Arial"/>
                <w:sz w:val="18"/>
                <w:szCs w:val="18"/>
              </w:rPr>
              <w:t>.</w:t>
            </w:r>
          </w:p>
        </w:tc>
      </w:tr>
      <w:tr w:rsidR="00045B8E" w:rsidRPr="0051385D" w14:paraId="09DF5CDD" w14:textId="77777777" w:rsidTr="005559B5">
        <w:trPr>
          <w:trHeight w:val="1984"/>
        </w:trPr>
        <w:tc>
          <w:tcPr>
            <w:tcW w:w="988" w:type="dxa"/>
          </w:tcPr>
          <w:p w14:paraId="79C87ECA" w14:textId="512AD464" w:rsidR="00045B8E" w:rsidRPr="0051385D" w:rsidRDefault="00045B8E" w:rsidP="005559B5">
            <w:pPr>
              <w:rPr>
                <w:rFonts w:ascii="Arial" w:hAnsi="Arial" w:cs="Arial"/>
                <w:sz w:val="18"/>
                <w:szCs w:val="18"/>
              </w:rPr>
            </w:pPr>
            <w:r>
              <w:rPr>
                <w:rFonts w:ascii="Arial" w:hAnsi="Arial" w:cs="Arial"/>
                <w:sz w:val="18"/>
                <w:szCs w:val="18"/>
              </w:rPr>
              <w:t>BMUV</w:t>
            </w:r>
          </w:p>
        </w:tc>
        <w:tc>
          <w:tcPr>
            <w:tcW w:w="1842" w:type="dxa"/>
          </w:tcPr>
          <w:p w14:paraId="1BB5097D" w14:textId="7322E7A7" w:rsidR="00045B8E" w:rsidRPr="0051385D" w:rsidRDefault="00045B8E" w:rsidP="005559B5">
            <w:pPr>
              <w:rPr>
                <w:rFonts w:ascii="Arial" w:hAnsi="Arial" w:cs="Arial"/>
                <w:sz w:val="18"/>
                <w:szCs w:val="18"/>
              </w:rPr>
            </w:pPr>
            <w:r w:rsidRPr="000329AE">
              <w:rPr>
                <w:rFonts w:ascii="Arial" w:hAnsi="Arial" w:cs="Arial"/>
                <w:sz w:val="18"/>
                <w:szCs w:val="18"/>
              </w:rPr>
              <w:t>Dokumentation Gewerbeabfall</w:t>
            </w:r>
            <w:r>
              <w:rPr>
                <w:rFonts w:ascii="Arial" w:hAnsi="Arial" w:cs="Arial"/>
                <w:sz w:val="18"/>
                <w:szCs w:val="18"/>
              </w:rPr>
              <w:t>-</w:t>
            </w:r>
            <w:r w:rsidRPr="000329AE">
              <w:rPr>
                <w:rFonts w:ascii="Arial" w:hAnsi="Arial" w:cs="Arial"/>
                <w:sz w:val="18"/>
                <w:szCs w:val="18"/>
              </w:rPr>
              <w:t>verordnung</w:t>
            </w:r>
          </w:p>
        </w:tc>
        <w:tc>
          <w:tcPr>
            <w:tcW w:w="1418" w:type="dxa"/>
          </w:tcPr>
          <w:p w14:paraId="0B39CEDD" w14:textId="401EF0A5" w:rsidR="00045B8E" w:rsidRPr="0051385D" w:rsidRDefault="00B87BD4" w:rsidP="005559B5">
            <w:pPr>
              <w:rPr>
                <w:rFonts w:ascii="Arial" w:hAnsi="Arial" w:cs="Arial"/>
                <w:sz w:val="18"/>
                <w:szCs w:val="18"/>
              </w:rPr>
            </w:pPr>
            <w:r w:rsidRPr="00B87BD4">
              <w:rPr>
                <w:rFonts w:ascii="Arial" w:hAnsi="Arial" w:cs="Arial"/>
                <w:sz w:val="18"/>
                <w:szCs w:val="18"/>
              </w:rPr>
              <w:t>§ 3</w:t>
            </w:r>
            <w:r w:rsidR="00E36DD4">
              <w:rPr>
                <w:rFonts w:ascii="Arial" w:hAnsi="Arial" w:cs="Arial"/>
                <w:sz w:val="18"/>
                <w:szCs w:val="18"/>
              </w:rPr>
              <w:t xml:space="preserve"> Absatz 3, § 4 </w:t>
            </w:r>
            <w:r w:rsidR="00D2288C">
              <w:rPr>
                <w:rFonts w:ascii="Arial" w:hAnsi="Arial" w:cs="Arial"/>
                <w:sz w:val="18"/>
                <w:szCs w:val="18"/>
              </w:rPr>
              <w:t xml:space="preserve">Absatz 5, § 8 </w:t>
            </w:r>
            <w:r w:rsidR="005A156B">
              <w:rPr>
                <w:rFonts w:ascii="Arial" w:hAnsi="Arial" w:cs="Arial"/>
                <w:sz w:val="18"/>
                <w:szCs w:val="18"/>
              </w:rPr>
              <w:t>Absatz 3</w:t>
            </w:r>
            <w:r w:rsidR="005A156B">
              <w:rPr>
                <w:rFonts w:ascii="Arial" w:hAnsi="Arial" w:cs="Arial"/>
                <w:sz w:val="18"/>
                <w:szCs w:val="18"/>
              </w:rPr>
              <w:br/>
            </w:r>
            <w:r w:rsidR="00B171BA" w:rsidRPr="00B171BA">
              <w:rPr>
                <w:rFonts w:ascii="Arial" w:hAnsi="Arial" w:cs="Arial"/>
                <w:sz w:val="18"/>
                <w:szCs w:val="18"/>
              </w:rPr>
              <w:t xml:space="preserve">Gewerbeabfallverordnung </w:t>
            </w:r>
          </w:p>
        </w:tc>
        <w:tc>
          <w:tcPr>
            <w:tcW w:w="4536" w:type="dxa"/>
          </w:tcPr>
          <w:p w14:paraId="43C1AE94" w14:textId="50D6343A" w:rsidR="00045B8E" w:rsidRPr="0051385D" w:rsidRDefault="00614440" w:rsidP="005559B5">
            <w:pPr>
              <w:rPr>
                <w:rFonts w:ascii="Arial" w:hAnsi="Arial" w:cs="Arial"/>
                <w:sz w:val="18"/>
                <w:szCs w:val="18"/>
              </w:rPr>
            </w:pPr>
            <w:r>
              <w:rPr>
                <w:rFonts w:ascii="Arial" w:hAnsi="Arial" w:cs="Arial"/>
                <w:sz w:val="18"/>
                <w:szCs w:val="18"/>
              </w:rPr>
              <w:t>B</w:t>
            </w:r>
            <w:r w:rsidRPr="00614440">
              <w:rPr>
                <w:rFonts w:ascii="Arial" w:hAnsi="Arial" w:cs="Arial"/>
                <w:sz w:val="18"/>
                <w:szCs w:val="18"/>
              </w:rPr>
              <w:t xml:space="preserve">etriebe </w:t>
            </w:r>
            <w:r>
              <w:rPr>
                <w:rFonts w:ascii="Arial" w:hAnsi="Arial" w:cs="Arial"/>
                <w:sz w:val="18"/>
                <w:szCs w:val="18"/>
              </w:rPr>
              <w:t xml:space="preserve">müssen </w:t>
            </w:r>
            <w:r w:rsidRPr="00614440">
              <w:rPr>
                <w:rFonts w:ascii="Arial" w:hAnsi="Arial" w:cs="Arial"/>
                <w:sz w:val="18"/>
                <w:szCs w:val="18"/>
              </w:rPr>
              <w:t xml:space="preserve">sowohl </w:t>
            </w:r>
            <w:r w:rsidR="00AA1460">
              <w:rPr>
                <w:rFonts w:ascii="Arial" w:hAnsi="Arial" w:cs="Arial"/>
                <w:sz w:val="18"/>
                <w:szCs w:val="18"/>
              </w:rPr>
              <w:t xml:space="preserve">für ihre </w:t>
            </w:r>
            <w:r w:rsidRPr="00614440">
              <w:rPr>
                <w:rFonts w:ascii="Arial" w:hAnsi="Arial" w:cs="Arial"/>
                <w:sz w:val="18"/>
                <w:szCs w:val="18"/>
              </w:rPr>
              <w:t xml:space="preserve">getrennt als auch nicht getrennt </w:t>
            </w:r>
            <w:r w:rsidR="00E44A4E">
              <w:rPr>
                <w:rFonts w:ascii="Arial" w:hAnsi="Arial" w:cs="Arial"/>
                <w:sz w:val="18"/>
                <w:szCs w:val="18"/>
              </w:rPr>
              <w:t>gesammelte</w:t>
            </w:r>
            <w:r w:rsidR="00AA1460">
              <w:rPr>
                <w:rFonts w:ascii="Arial" w:hAnsi="Arial" w:cs="Arial"/>
                <w:sz w:val="18"/>
                <w:szCs w:val="18"/>
              </w:rPr>
              <w:t>n</w:t>
            </w:r>
            <w:r w:rsidRPr="00614440">
              <w:rPr>
                <w:rFonts w:ascii="Arial" w:hAnsi="Arial" w:cs="Arial"/>
                <w:sz w:val="18"/>
                <w:szCs w:val="18"/>
              </w:rPr>
              <w:t xml:space="preserve"> Abfälle,</w:t>
            </w:r>
            <w:r w:rsidR="00AA1460">
              <w:rPr>
                <w:rFonts w:ascii="Arial" w:hAnsi="Arial" w:cs="Arial"/>
                <w:sz w:val="18"/>
                <w:szCs w:val="18"/>
              </w:rPr>
              <w:t xml:space="preserve"> die Sammlung,</w:t>
            </w:r>
            <w:r w:rsidRPr="00614440">
              <w:rPr>
                <w:rFonts w:ascii="Arial" w:hAnsi="Arial" w:cs="Arial"/>
                <w:sz w:val="18"/>
                <w:szCs w:val="18"/>
              </w:rPr>
              <w:t xml:space="preserve"> Mengen und </w:t>
            </w:r>
            <w:r w:rsidR="00AA1460">
              <w:rPr>
                <w:rFonts w:ascii="Arial" w:hAnsi="Arial" w:cs="Arial"/>
                <w:sz w:val="18"/>
                <w:szCs w:val="18"/>
              </w:rPr>
              <w:t xml:space="preserve">Verwertung- oder </w:t>
            </w:r>
            <w:r w:rsidRPr="00614440">
              <w:rPr>
                <w:rFonts w:ascii="Arial" w:hAnsi="Arial" w:cs="Arial"/>
                <w:sz w:val="18"/>
                <w:szCs w:val="18"/>
              </w:rPr>
              <w:t>Entsorgungswege genau</w:t>
            </w:r>
            <w:r w:rsidR="001D3D81">
              <w:rPr>
                <w:rFonts w:ascii="Arial" w:hAnsi="Arial" w:cs="Arial"/>
                <w:sz w:val="18"/>
                <w:szCs w:val="18"/>
              </w:rPr>
              <w:t xml:space="preserve"> (inkl. Bilder, Lagepläne, Nachweise, Begründungen)</w:t>
            </w:r>
            <w:r w:rsidRPr="00614440">
              <w:rPr>
                <w:rFonts w:ascii="Arial" w:hAnsi="Arial" w:cs="Arial"/>
                <w:sz w:val="18"/>
                <w:szCs w:val="18"/>
              </w:rPr>
              <w:t xml:space="preserve"> </w:t>
            </w:r>
            <w:r w:rsidR="001D3D81">
              <w:rPr>
                <w:rFonts w:ascii="Arial" w:hAnsi="Arial" w:cs="Arial"/>
                <w:sz w:val="18"/>
                <w:szCs w:val="18"/>
              </w:rPr>
              <w:t>dokumentieren</w:t>
            </w:r>
            <w:r w:rsidRPr="00614440">
              <w:rPr>
                <w:rFonts w:ascii="Arial" w:hAnsi="Arial" w:cs="Arial"/>
                <w:sz w:val="18"/>
                <w:szCs w:val="18"/>
              </w:rPr>
              <w:t>.</w:t>
            </w:r>
            <w:r w:rsidR="00464C34">
              <w:rPr>
                <w:rFonts w:ascii="Arial" w:hAnsi="Arial" w:cs="Arial"/>
                <w:sz w:val="18"/>
                <w:szCs w:val="18"/>
              </w:rPr>
              <w:t xml:space="preserve"> Eine Bagatellschwelle besteht nicht.</w:t>
            </w:r>
            <w:r w:rsidR="001D3D81">
              <w:rPr>
                <w:rFonts w:ascii="Arial" w:hAnsi="Arial" w:cs="Arial"/>
                <w:sz w:val="18"/>
                <w:szCs w:val="18"/>
              </w:rPr>
              <w:t xml:space="preserve"> </w:t>
            </w:r>
            <w:r w:rsidR="00464C34">
              <w:rPr>
                <w:rFonts w:ascii="Arial" w:hAnsi="Arial" w:cs="Arial"/>
                <w:sz w:val="18"/>
                <w:szCs w:val="18"/>
              </w:rPr>
              <w:t xml:space="preserve">Untersuchungen haben ergeben, dass die Pflicht kaum bekannt ist </w:t>
            </w:r>
            <w:r w:rsidR="00D27D61">
              <w:rPr>
                <w:rFonts w:ascii="Arial" w:hAnsi="Arial" w:cs="Arial"/>
                <w:sz w:val="18"/>
                <w:szCs w:val="18"/>
              </w:rPr>
              <w:t>oder</w:t>
            </w:r>
            <w:r w:rsidR="00464C34">
              <w:rPr>
                <w:rFonts w:ascii="Arial" w:hAnsi="Arial" w:cs="Arial"/>
                <w:sz w:val="18"/>
                <w:szCs w:val="18"/>
              </w:rPr>
              <w:t xml:space="preserve"> Unternehmen sie aus Sicht der Vollzugs</w:t>
            </w:r>
            <w:r w:rsidR="00F2411C">
              <w:rPr>
                <w:rFonts w:ascii="Arial" w:hAnsi="Arial" w:cs="Arial"/>
                <w:sz w:val="18"/>
                <w:szCs w:val="18"/>
              </w:rPr>
              <w:t>-</w:t>
            </w:r>
            <w:r w:rsidR="00464C34">
              <w:rPr>
                <w:rFonts w:ascii="Arial" w:hAnsi="Arial" w:cs="Arial"/>
                <w:sz w:val="18"/>
                <w:szCs w:val="18"/>
              </w:rPr>
              <w:t xml:space="preserve">behörden </w:t>
            </w:r>
            <w:r w:rsidR="00792133">
              <w:rPr>
                <w:rFonts w:ascii="Arial" w:hAnsi="Arial" w:cs="Arial"/>
                <w:sz w:val="18"/>
                <w:szCs w:val="18"/>
              </w:rPr>
              <w:t>überwiegend falsch umsetzen</w:t>
            </w:r>
            <w:r w:rsidR="00D27D61">
              <w:rPr>
                <w:rFonts w:ascii="Arial" w:hAnsi="Arial" w:cs="Arial"/>
                <w:sz w:val="18"/>
                <w:szCs w:val="18"/>
              </w:rPr>
              <w:t>.</w:t>
            </w:r>
            <w:r w:rsidR="00F2411C">
              <w:rPr>
                <w:rFonts w:ascii="Arial" w:hAnsi="Arial" w:cs="Arial"/>
                <w:sz w:val="18"/>
                <w:szCs w:val="18"/>
              </w:rPr>
              <w:t xml:space="preserve"> Insbesondere die Pflicht zur Dokumentation der getrenn</w:t>
            </w:r>
            <w:r w:rsidR="003D702A">
              <w:rPr>
                <w:rFonts w:ascii="Arial" w:hAnsi="Arial" w:cs="Arial"/>
                <w:sz w:val="18"/>
                <w:szCs w:val="18"/>
              </w:rPr>
              <w:t>ten Sammlung erscheint wenig sinnvoll.</w:t>
            </w:r>
          </w:p>
        </w:tc>
        <w:tc>
          <w:tcPr>
            <w:tcW w:w="2835" w:type="dxa"/>
          </w:tcPr>
          <w:p w14:paraId="785349BD" w14:textId="25F1F837" w:rsidR="00045B8E" w:rsidRPr="0051385D" w:rsidRDefault="00D27D61" w:rsidP="005559B5">
            <w:pPr>
              <w:rPr>
                <w:rFonts w:ascii="Arial" w:hAnsi="Arial" w:cs="Arial"/>
                <w:sz w:val="18"/>
                <w:szCs w:val="18"/>
              </w:rPr>
            </w:pPr>
            <w:r>
              <w:rPr>
                <w:rFonts w:ascii="Arial" w:hAnsi="Arial" w:cs="Arial"/>
                <w:sz w:val="18"/>
                <w:szCs w:val="18"/>
              </w:rPr>
              <w:t xml:space="preserve">Die </w:t>
            </w:r>
            <w:r w:rsidR="00B96D1E">
              <w:rPr>
                <w:rFonts w:ascii="Arial" w:hAnsi="Arial" w:cs="Arial"/>
                <w:sz w:val="18"/>
                <w:szCs w:val="18"/>
              </w:rPr>
              <w:t>Dokumentationspflicht</w:t>
            </w:r>
            <w:r>
              <w:rPr>
                <w:rFonts w:ascii="Arial" w:hAnsi="Arial" w:cs="Arial"/>
                <w:sz w:val="18"/>
                <w:szCs w:val="18"/>
              </w:rPr>
              <w:t xml:space="preserve"> sollte </w:t>
            </w:r>
            <w:r w:rsidR="003D702A">
              <w:rPr>
                <w:rFonts w:ascii="Arial" w:hAnsi="Arial" w:cs="Arial"/>
                <w:sz w:val="18"/>
                <w:szCs w:val="18"/>
              </w:rPr>
              <w:t xml:space="preserve">gestrichen werden oder zumindest </w:t>
            </w:r>
            <w:r>
              <w:rPr>
                <w:rFonts w:ascii="Arial" w:hAnsi="Arial" w:cs="Arial"/>
                <w:sz w:val="18"/>
                <w:szCs w:val="18"/>
              </w:rPr>
              <w:t xml:space="preserve">auf </w:t>
            </w:r>
            <w:r w:rsidR="00B96D1E">
              <w:rPr>
                <w:rFonts w:ascii="Arial" w:hAnsi="Arial" w:cs="Arial"/>
                <w:sz w:val="18"/>
                <w:szCs w:val="18"/>
              </w:rPr>
              <w:t>große Abfallerzeuger</w:t>
            </w:r>
            <w:r w:rsidR="00D4688E">
              <w:rPr>
                <w:rFonts w:ascii="Arial" w:hAnsi="Arial" w:cs="Arial"/>
                <w:sz w:val="18"/>
                <w:szCs w:val="18"/>
              </w:rPr>
              <w:t xml:space="preserve"> (Schwelle?)</w:t>
            </w:r>
            <w:r w:rsidR="00B96D1E">
              <w:rPr>
                <w:rFonts w:ascii="Arial" w:hAnsi="Arial" w:cs="Arial"/>
                <w:sz w:val="18"/>
                <w:szCs w:val="18"/>
              </w:rPr>
              <w:t xml:space="preserve"> </w:t>
            </w:r>
            <w:r w:rsidR="00520427">
              <w:rPr>
                <w:rFonts w:ascii="Arial" w:hAnsi="Arial" w:cs="Arial"/>
                <w:sz w:val="18"/>
                <w:szCs w:val="18"/>
              </w:rPr>
              <w:t>und auf das Abweichen von der Pflicht zur getrennten Sammlung</w:t>
            </w:r>
            <w:r w:rsidR="00EA5B51">
              <w:rPr>
                <w:rFonts w:ascii="Arial" w:hAnsi="Arial" w:cs="Arial"/>
                <w:sz w:val="18"/>
                <w:szCs w:val="18"/>
              </w:rPr>
              <w:t xml:space="preserve"> oder der Vorbehandlung </w:t>
            </w:r>
            <w:r w:rsidR="00B96D1E">
              <w:rPr>
                <w:rFonts w:ascii="Arial" w:hAnsi="Arial" w:cs="Arial"/>
                <w:sz w:val="18"/>
                <w:szCs w:val="18"/>
              </w:rPr>
              <w:t xml:space="preserve">begrenzt werden. </w:t>
            </w:r>
          </w:p>
        </w:tc>
        <w:tc>
          <w:tcPr>
            <w:tcW w:w="2978" w:type="dxa"/>
          </w:tcPr>
          <w:p w14:paraId="2E40E008" w14:textId="40F13F5B" w:rsidR="00045B8E" w:rsidRPr="0051385D" w:rsidRDefault="003D702A" w:rsidP="005559B5">
            <w:pPr>
              <w:rPr>
                <w:rFonts w:ascii="Arial" w:hAnsi="Arial" w:cs="Arial"/>
                <w:sz w:val="18"/>
                <w:szCs w:val="18"/>
              </w:rPr>
            </w:pPr>
            <w:r>
              <w:rPr>
                <w:rFonts w:ascii="Arial" w:hAnsi="Arial" w:cs="Arial"/>
                <w:sz w:val="18"/>
                <w:szCs w:val="18"/>
              </w:rPr>
              <w:t xml:space="preserve">Ein Großteil der Unternehmen, die keinen nennenswerten Mengen an Abfällen erzeigen, würden von der </w:t>
            </w:r>
            <w:r w:rsidR="00441D92">
              <w:rPr>
                <w:rFonts w:ascii="Arial" w:hAnsi="Arial" w:cs="Arial"/>
                <w:sz w:val="18"/>
                <w:szCs w:val="18"/>
              </w:rPr>
              <w:t xml:space="preserve">Dokumentationspflicht </w:t>
            </w:r>
            <w:r>
              <w:rPr>
                <w:rFonts w:ascii="Arial" w:hAnsi="Arial" w:cs="Arial"/>
                <w:sz w:val="18"/>
                <w:szCs w:val="18"/>
              </w:rPr>
              <w:t>befreit.</w:t>
            </w:r>
          </w:p>
        </w:tc>
      </w:tr>
      <w:tr w:rsidR="0033530C" w:rsidRPr="0051385D" w14:paraId="57A12023" w14:textId="77777777" w:rsidTr="005559B5">
        <w:trPr>
          <w:trHeight w:val="2400"/>
        </w:trPr>
        <w:tc>
          <w:tcPr>
            <w:tcW w:w="988" w:type="dxa"/>
          </w:tcPr>
          <w:p w14:paraId="58FA4879" w14:textId="56DC3DB9" w:rsidR="0033530C" w:rsidRPr="0033530C" w:rsidRDefault="0033530C" w:rsidP="005559B5">
            <w:pPr>
              <w:rPr>
                <w:rFonts w:ascii="Arial" w:hAnsi="Arial" w:cs="Arial"/>
                <w:sz w:val="18"/>
                <w:szCs w:val="18"/>
              </w:rPr>
            </w:pPr>
            <w:r w:rsidRPr="0033530C">
              <w:rPr>
                <w:rFonts w:ascii="Arial" w:hAnsi="Arial" w:cs="Arial"/>
                <w:sz w:val="18"/>
                <w:szCs w:val="18"/>
              </w:rPr>
              <w:t>DG GROW</w:t>
            </w:r>
          </w:p>
        </w:tc>
        <w:tc>
          <w:tcPr>
            <w:tcW w:w="1842" w:type="dxa"/>
          </w:tcPr>
          <w:p w14:paraId="5A38C470" w14:textId="77777777" w:rsidR="0033530C" w:rsidRPr="0033530C" w:rsidRDefault="0033530C" w:rsidP="005559B5">
            <w:pPr>
              <w:rPr>
                <w:rFonts w:ascii="Arial" w:hAnsi="Arial" w:cs="Arial"/>
                <w:sz w:val="18"/>
                <w:szCs w:val="18"/>
              </w:rPr>
            </w:pPr>
            <w:r w:rsidRPr="0033530C">
              <w:rPr>
                <w:rFonts w:ascii="Arial" w:hAnsi="Arial" w:cs="Arial"/>
                <w:sz w:val="18"/>
                <w:szCs w:val="18"/>
              </w:rPr>
              <w:t>Artikel 33 REACH-Verordnung</w:t>
            </w:r>
          </w:p>
          <w:p w14:paraId="14BB4105" w14:textId="7570ABF1" w:rsidR="0033530C" w:rsidRPr="0033530C" w:rsidRDefault="0033530C" w:rsidP="005559B5">
            <w:pPr>
              <w:rPr>
                <w:rFonts w:ascii="Arial" w:hAnsi="Arial" w:cs="Arial"/>
                <w:sz w:val="18"/>
                <w:szCs w:val="18"/>
              </w:rPr>
            </w:pPr>
          </w:p>
        </w:tc>
        <w:tc>
          <w:tcPr>
            <w:tcW w:w="1418" w:type="dxa"/>
          </w:tcPr>
          <w:p w14:paraId="6EBA2857" w14:textId="1A903218" w:rsidR="0033530C" w:rsidRPr="0051385D" w:rsidRDefault="557BD7B2" w:rsidP="005559B5">
            <w:pPr>
              <w:rPr>
                <w:rFonts w:ascii="Arial" w:hAnsi="Arial" w:cs="Arial"/>
                <w:sz w:val="18"/>
                <w:szCs w:val="18"/>
              </w:rPr>
            </w:pPr>
            <w:r w:rsidRPr="7A8FA11F">
              <w:rPr>
                <w:rFonts w:ascii="Arial" w:hAnsi="Arial" w:cs="Arial"/>
                <w:sz w:val="18"/>
                <w:szCs w:val="18"/>
              </w:rPr>
              <w:t>Artikel 33</w:t>
            </w:r>
          </w:p>
        </w:tc>
        <w:tc>
          <w:tcPr>
            <w:tcW w:w="4536" w:type="dxa"/>
          </w:tcPr>
          <w:p w14:paraId="76AA9567" w14:textId="53056E26" w:rsidR="0033530C" w:rsidRPr="0051385D" w:rsidRDefault="557BD7B2" w:rsidP="005559B5">
            <w:pPr>
              <w:rPr>
                <w:rFonts w:ascii="Arial" w:hAnsi="Arial" w:cs="Arial"/>
                <w:sz w:val="18"/>
                <w:szCs w:val="18"/>
              </w:rPr>
            </w:pPr>
            <w:r w:rsidRPr="7A8FA11F">
              <w:rPr>
                <w:rFonts w:ascii="Arial" w:hAnsi="Arial" w:cs="Arial"/>
                <w:sz w:val="18"/>
                <w:szCs w:val="18"/>
              </w:rPr>
              <w:t xml:space="preserve">Die Informationspflicht gemäß Artikel 33 gegenüber einem Abnehmer eines Erzeugnisses entsteht, wenn SVHC-Kandidatenstoffe in der Konzentration von mehr als 0,1 % in diesen Erzeugnissen enthalten sind. Der Lieferant des Erzeugnisses stellt dem Abnehmer die ihm vorliegenden Informationen zur Verfügung, die für eine sichere Verwendung des Erzeugnisses ausreichen, mindestens aber den Namen des Stoffes. </w:t>
            </w:r>
            <w:r w:rsidR="02DE98FA" w:rsidRPr="7A8FA11F">
              <w:rPr>
                <w:rFonts w:ascii="Arial" w:hAnsi="Arial" w:cs="Arial"/>
                <w:sz w:val="18"/>
                <w:szCs w:val="18"/>
              </w:rPr>
              <w:t xml:space="preserve">Auf Ersuchen des Verbrauchers, müssen auch ihm die Informationen innerhalb von 45 Tagen kostenlos zur Verfügung gestellt werden. </w:t>
            </w:r>
            <w:r w:rsidR="006C4C18">
              <w:rPr>
                <w:rFonts w:ascii="Arial" w:hAnsi="Arial" w:cs="Arial"/>
                <w:sz w:val="18"/>
                <w:szCs w:val="18"/>
              </w:rPr>
              <w:t xml:space="preserve">Diese Pflicht führt in der jetzigen Form zu einer großen Zahl versandter Informations- und Bestätigungsschreiben, ohne dass tatsächlich </w:t>
            </w:r>
            <w:r w:rsidR="00C811A4">
              <w:rPr>
                <w:rFonts w:ascii="Arial" w:hAnsi="Arial" w:cs="Arial"/>
                <w:sz w:val="18"/>
                <w:szCs w:val="18"/>
              </w:rPr>
              <w:t>eine wertvolle Information für Lieferanten oder Verbraucher transportiert würde.</w:t>
            </w:r>
          </w:p>
        </w:tc>
        <w:tc>
          <w:tcPr>
            <w:tcW w:w="2835" w:type="dxa"/>
          </w:tcPr>
          <w:p w14:paraId="09327DBE" w14:textId="4F8953C4" w:rsidR="0033530C" w:rsidRPr="0051385D" w:rsidRDefault="00477F50" w:rsidP="005559B5">
            <w:pPr>
              <w:rPr>
                <w:rFonts w:ascii="Arial" w:hAnsi="Arial" w:cs="Arial"/>
                <w:sz w:val="18"/>
                <w:szCs w:val="18"/>
              </w:rPr>
            </w:pPr>
            <w:r>
              <w:rPr>
                <w:rFonts w:ascii="Arial" w:hAnsi="Arial" w:cs="Arial"/>
                <w:sz w:val="18"/>
                <w:szCs w:val="18"/>
              </w:rPr>
              <w:t xml:space="preserve">Die Informationspflicht in dieser </w:t>
            </w:r>
            <w:r w:rsidR="00C811A4">
              <w:rPr>
                <w:rFonts w:ascii="Arial" w:hAnsi="Arial" w:cs="Arial"/>
                <w:sz w:val="18"/>
                <w:szCs w:val="18"/>
              </w:rPr>
              <w:t>Form</w:t>
            </w:r>
            <w:r>
              <w:rPr>
                <w:rFonts w:ascii="Arial" w:hAnsi="Arial" w:cs="Arial"/>
                <w:sz w:val="18"/>
                <w:szCs w:val="18"/>
              </w:rPr>
              <w:t xml:space="preserve"> sollte gestrichen werden.</w:t>
            </w:r>
            <w:r w:rsidR="00C811A4">
              <w:rPr>
                <w:rFonts w:ascii="Arial" w:hAnsi="Arial" w:cs="Arial"/>
                <w:sz w:val="18"/>
                <w:szCs w:val="18"/>
              </w:rPr>
              <w:t xml:space="preserve"> </w:t>
            </w:r>
            <w:r w:rsidR="008D6012">
              <w:rPr>
                <w:rFonts w:ascii="Arial" w:hAnsi="Arial" w:cs="Arial"/>
                <w:sz w:val="18"/>
                <w:szCs w:val="18"/>
              </w:rPr>
              <w:t>Bei berechtigten Informations-Interessen</w:t>
            </w:r>
            <w:r w:rsidR="00C811A4">
              <w:rPr>
                <w:rFonts w:ascii="Arial" w:hAnsi="Arial" w:cs="Arial"/>
                <w:sz w:val="18"/>
                <w:szCs w:val="18"/>
              </w:rPr>
              <w:t xml:space="preserve"> </w:t>
            </w:r>
            <w:r w:rsidR="008D6012">
              <w:rPr>
                <w:rFonts w:ascii="Arial" w:hAnsi="Arial" w:cs="Arial"/>
                <w:sz w:val="18"/>
                <w:szCs w:val="18"/>
              </w:rPr>
              <w:t>der Käufer sollten alternative Wege wie bspw. Informationen im digitalen Produktpass geprüft werden.</w:t>
            </w:r>
          </w:p>
        </w:tc>
        <w:tc>
          <w:tcPr>
            <w:tcW w:w="2978" w:type="dxa"/>
          </w:tcPr>
          <w:p w14:paraId="710E9619" w14:textId="05C860DD" w:rsidR="0033530C" w:rsidRPr="0051385D" w:rsidRDefault="00F57EA6" w:rsidP="005559B5">
            <w:pPr>
              <w:rPr>
                <w:rFonts w:ascii="Arial" w:hAnsi="Arial" w:cs="Arial"/>
                <w:sz w:val="18"/>
                <w:szCs w:val="18"/>
              </w:rPr>
            </w:pPr>
            <w:r>
              <w:rPr>
                <w:rFonts w:ascii="Arial" w:hAnsi="Arial" w:cs="Arial"/>
                <w:sz w:val="18"/>
                <w:szCs w:val="18"/>
              </w:rPr>
              <w:t>Eine große Zahl unnötiger Informationsschreiben innerhalb der Lieferkette würde entfallen.</w:t>
            </w:r>
          </w:p>
        </w:tc>
      </w:tr>
      <w:tr w:rsidR="0033530C" w:rsidRPr="0051385D" w14:paraId="22F1E43A" w14:textId="77777777" w:rsidTr="005559B5">
        <w:trPr>
          <w:trHeight w:val="2025"/>
        </w:trPr>
        <w:tc>
          <w:tcPr>
            <w:tcW w:w="988" w:type="dxa"/>
          </w:tcPr>
          <w:p w14:paraId="08EB789F" w14:textId="63CE4ADE" w:rsidR="0033530C" w:rsidRPr="0051385D" w:rsidRDefault="0033530C" w:rsidP="005559B5">
            <w:pPr>
              <w:rPr>
                <w:rFonts w:ascii="Arial" w:hAnsi="Arial" w:cs="Arial"/>
                <w:sz w:val="18"/>
                <w:szCs w:val="18"/>
              </w:rPr>
            </w:pPr>
            <w:r>
              <w:rPr>
                <w:rFonts w:ascii="Arial" w:hAnsi="Arial" w:cs="Arial"/>
                <w:sz w:val="18"/>
                <w:szCs w:val="18"/>
              </w:rPr>
              <w:t>BMAS</w:t>
            </w:r>
          </w:p>
        </w:tc>
        <w:tc>
          <w:tcPr>
            <w:tcW w:w="1842" w:type="dxa"/>
          </w:tcPr>
          <w:p w14:paraId="7C1B020F" w14:textId="0428DD9E" w:rsidR="0033530C" w:rsidRPr="003965FD" w:rsidRDefault="00A82AA2" w:rsidP="005559B5">
            <w:pPr>
              <w:rPr>
                <w:rFonts w:ascii="Arial" w:hAnsi="Arial" w:cs="Arial"/>
                <w:sz w:val="18"/>
                <w:szCs w:val="18"/>
              </w:rPr>
            </w:pPr>
            <w:r>
              <w:rPr>
                <w:rFonts w:ascii="Arial" w:hAnsi="Arial" w:cs="Arial"/>
                <w:sz w:val="18"/>
                <w:szCs w:val="18"/>
              </w:rPr>
              <w:t xml:space="preserve">Anzeige, </w:t>
            </w:r>
            <w:r w:rsidR="00307B6B">
              <w:rPr>
                <w:rFonts w:ascii="Arial" w:hAnsi="Arial" w:cs="Arial"/>
                <w:sz w:val="18"/>
                <w:szCs w:val="18"/>
              </w:rPr>
              <w:t xml:space="preserve">Belehrung, </w:t>
            </w:r>
            <w:r w:rsidR="00307B6B" w:rsidRPr="00307B6B">
              <w:rPr>
                <w:rFonts w:ascii="Arial" w:hAnsi="Arial" w:cs="Arial"/>
                <w:sz w:val="18"/>
                <w:szCs w:val="18"/>
              </w:rPr>
              <w:t>Informations- und Aufzeichnungspflichten</w:t>
            </w:r>
            <w:r w:rsidR="00307B6B">
              <w:rPr>
                <w:rFonts w:ascii="Arial" w:hAnsi="Arial" w:cs="Arial"/>
                <w:sz w:val="18"/>
                <w:szCs w:val="18"/>
              </w:rPr>
              <w:t xml:space="preserve"> nach der</w:t>
            </w:r>
            <w:r>
              <w:rPr>
                <w:rFonts w:ascii="Arial" w:hAnsi="Arial" w:cs="Arial"/>
                <w:sz w:val="18"/>
                <w:szCs w:val="18"/>
              </w:rPr>
              <w:br/>
            </w:r>
            <w:r w:rsidR="0033530C" w:rsidRPr="003965FD">
              <w:rPr>
                <w:rFonts w:ascii="Arial" w:hAnsi="Arial" w:cs="Arial"/>
                <w:sz w:val="18"/>
                <w:szCs w:val="18"/>
              </w:rPr>
              <w:t xml:space="preserve">Chemikalien-Verbotsverordnung </w:t>
            </w:r>
          </w:p>
          <w:p w14:paraId="4C7F11D3" w14:textId="77777777" w:rsidR="0033530C" w:rsidRPr="0051385D" w:rsidRDefault="0033530C" w:rsidP="005559B5">
            <w:pPr>
              <w:pStyle w:val="Listenabsatz"/>
              <w:rPr>
                <w:rFonts w:ascii="Arial" w:hAnsi="Arial" w:cs="Arial"/>
                <w:sz w:val="18"/>
                <w:szCs w:val="18"/>
              </w:rPr>
            </w:pPr>
          </w:p>
        </w:tc>
        <w:tc>
          <w:tcPr>
            <w:tcW w:w="1418" w:type="dxa"/>
          </w:tcPr>
          <w:p w14:paraId="41DBAFFB" w14:textId="26F36B9B" w:rsidR="0033530C" w:rsidRPr="0051385D" w:rsidRDefault="00F42C27" w:rsidP="005559B5">
            <w:pPr>
              <w:rPr>
                <w:rFonts w:ascii="Arial" w:hAnsi="Arial" w:cs="Arial"/>
                <w:sz w:val="18"/>
                <w:szCs w:val="18"/>
              </w:rPr>
            </w:pPr>
            <w:r w:rsidRPr="003965FD">
              <w:rPr>
                <w:rFonts w:ascii="Arial" w:hAnsi="Arial" w:cs="Arial"/>
                <w:sz w:val="18"/>
                <w:szCs w:val="18"/>
              </w:rPr>
              <w:t xml:space="preserve">§ </w:t>
            </w:r>
            <w:r>
              <w:rPr>
                <w:rFonts w:ascii="Arial" w:hAnsi="Arial" w:cs="Arial"/>
                <w:sz w:val="18"/>
                <w:szCs w:val="18"/>
              </w:rPr>
              <w:t xml:space="preserve">5 bis </w:t>
            </w:r>
            <w:r w:rsidR="00A82AA2">
              <w:rPr>
                <w:rFonts w:ascii="Arial" w:hAnsi="Arial" w:cs="Arial"/>
                <w:sz w:val="18"/>
                <w:szCs w:val="18"/>
              </w:rPr>
              <w:t>11</w:t>
            </w:r>
          </w:p>
        </w:tc>
        <w:tc>
          <w:tcPr>
            <w:tcW w:w="4536" w:type="dxa"/>
          </w:tcPr>
          <w:p w14:paraId="23FB1257" w14:textId="29A47DB1" w:rsidR="0033530C" w:rsidRPr="0051385D" w:rsidRDefault="008504A2" w:rsidP="005559B5">
            <w:pPr>
              <w:rPr>
                <w:rFonts w:ascii="Arial" w:hAnsi="Arial" w:cs="Arial"/>
                <w:sz w:val="18"/>
                <w:szCs w:val="18"/>
              </w:rPr>
            </w:pPr>
            <w:r>
              <w:rPr>
                <w:rFonts w:ascii="Arial" w:hAnsi="Arial" w:cs="Arial"/>
                <w:sz w:val="18"/>
                <w:szCs w:val="18"/>
              </w:rPr>
              <w:t xml:space="preserve">Vor der </w:t>
            </w:r>
            <w:r w:rsidR="005101FB">
              <w:rPr>
                <w:rFonts w:ascii="Arial" w:hAnsi="Arial" w:cs="Arial"/>
                <w:sz w:val="18"/>
                <w:szCs w:val="18"/>
              </w:rPr>
              <w:t>Abgabe bestimmter gef</w:t>
            </w:r>
            <w:r w:rsidR="00981D79">
              <w:rPr>
                <w:rFonts w:ascii="Arial" w:hAnsi="Arial" w:cs="Arial"/>
                <w:sz w:val="18"/>
                <w:szCs w:val="18"/>
              </w:rPr>
              <w:t xml:space="preserve">ährlicher </w:t>
            </w:r>
            <w:r>
              <w:rPr>
                <w:rFonts w:ascii="Arial" w:hAnsi="Arial" w:cs="Arial"/>
                <w:sz w:val="18"/>
                <w:szCs w:val="18"/>
              </w:rPr>
              <w:t xml:space="preserve">Stoffe und Gemische </w:t>
            </w:r>
            <w:r>
              <w:rPr>
                <w:rFonts w:ascii="Arial" w:hAnsi="Arial" w:cs="Arial"/>
                <w:sz w:val="18"/>
                <w:szCs w:val="18"/>
              </w:rPr>
              <w:t xml:space="preserve">müssen </w:t>
            </w:r>
            <w:r>
              <w:rPr>
                <w:rFonts w:ascii="Arial" w:hAnsi="Arial" w:cs="Arial"/>
                <w:sz w:val="18"/>
                <w:szCs w:val="18"/>
              </w:rPr>
              <w:t xml:space="preserve">Abgebende </w:t>
            </w:r>
            <w:r>
              <w:rPr>
                <w:rFonts w:ascii="Arial" w:hAnsi="Arial" w:cs="Arial"/>
                <w:sz w:val="18"/>
                <w:szCs w:val="18"/>
              </w:rPr>
              <w:t xml:space="preserve">neben einer </w:t>
            </w:r>
            <w:r w:rsidR="00A857FB">
              <w:rPr>
                <w:rFonts w:ascii="Arial" w:hAnsi="Arial" w:cs="Arial"/>
                <w:sz w:val="18"/>
                <w:szCs w:val="18"/>
              </w:rPr>
              <w:t xml:space="preserve">Erlaubnis oder Anzeige </w:t>
            </w:r>
            <w:r w:rsidR="009803B0">
              <w:rPr>
                <w:rFonts w:ascii="Arial" w:hAnsi="Arial" w:cs="Arial"/>
                <w:sz w:val="18"/>
                <w:szCs w:val="18"/>
              </w:rPr>
              <w:t>verschiedene Informationen von den Erwerbenden einholen und eine Belehrung durchführen.</w:t>
            </w:r>
            <w:r w:rsidR="00CD66B5">
              <w:rPr>
                <w:rFonts w:ascii="Arial" w:hAnsi="Arial" w:cs="Arial"/>
                <w:sz w:val="18"/>
                <w:szCs w:val="18"/>
              </w:rPr>
              <w:t xml:space="preserve"> </w:t>
            </w:r>
            <w:r w:rsidR="00CD66B5">
              <w:rPr>
                <w:rFonts w:ascii="Arial" w:hAnsi="Arial" w:cs="Arial"/>
                <w:sz w:val="18"/>
                <w:szCs w:val="18"/>
              </w:rPr>
              <w:t>Die Informationen (inkl. Identitätsnachweise) müssen dokumentiert</w:t>
            </w:r>
            <w:r w:rsidR="00CD66B5">
              <w:rPr>
                <w:rFonts w:ascii="Arial" w:hAnsi="Arial" w:cs="Arial"/>
                <w:sz w:val="18"/>
                <w:szCs w:val="18"/>
              </w:rPr>
              <w:t xml:space="preserve"> und aufbewahrt werden.</w:t>
            </w:r>
            <w:r w:rsidR="009803B0">
              <w:rPr>
                <w:rFonts w:ascii="Arial" w:hAnsi="Arial" w:cs="Arial"/>
                <w:sz w:val="18"/>
                <w:szCs w:val="18"/>
              </w:rPr>
              <w:t xml:space="preserve"> Dies ist selbst bei </w:t>
            </w:r>
            <w:r w:rsidR="00CB55A6">
              <w:rPr>
                <w:rFonts w:ascii="Arial" w:hAnsi="Arial" w:cs="Arial"/>
                <w:sz w:val="18"/>
                <w:szCs w:val="18"/>
              </w:rPr>
              <w:t xml:space="preserve">professionellen Anwendern bspw. im Fachgroßhandel für Reinigungsbedarf der Fall. </w:t>
            </w:r>
          </w:p>
        </w:tc>
        <w:tc>
          <w:tcPr>
            <w:tcW w:w="2835" w:type="dxa"/>
          </w:tcPr>
          <w:p w14:paraId="71FB6B7E" w14:textId="316B66F4" w:rsidR="0033530C" w:rsidRPr="0051385D" w:rsidRDefault="00CD66B5" w:rsidP="005559B5">
            <w:pPr>
              <w:rPr>
                <w:rFonts w:ascii="Arial" w:hAnsi="Arial" w:cs="Arial"/>
                <w:sz w:val="18"/>
                <w:szCs w:val="18"/>
              </w:rPr>
            </w:pPr>
            <w:r>
              <w:rPr>
                <w:rFonts w:ascii="Arial" w:hAnsi="Arial" w:cs="Arial"/>
                <w:sz w:val="18"/>
                <w:szCs w:val="18"/>
              </w:rPr>
              <w:t xml:space="preserve">Insbesondere die </w:t>
            </w:r>
            <w:r w:rsidR="007502EC">
              <w:rPr>
                <w:rFonts w:ascii="Arial" w:hAnsi="Arial" w:cs="Arial"/>
                <w:sz w:val="18"/>
                <w:szCs w:val="18"/>
              </w:rPr>
              <w:t xml:space="preserve">Informations-, Belehrungs- und Dokumentationspflicht gegenüber professionellen Anwendern sollte </w:t>
            </w:r>
            <w:r w:rsidR="00D66D85">
              <w:rPr>
                <w:rFonts w:ascii="Arial" w:hAnsi="Arial" w:cs="Arial"/>
                <w:sz w:val="18"/>
                <w:szCs w:val="18"/>
              </w:rPr>
              <w:t>entfallen</w:t>
            </w:r>
            <w:r w:rsidR="00F57EA6">
              <w:rPr>
                <w:rFonts w:ascii="Arial" w:hAnsi="Arial" w:cs="Arial"/>
                <w:sz w:val="18"/>
                <w:szCs w:val="18"/>
              </w:rPr>
              <w:t>.</w:t>
            </w:r>
          </w:p>
        </w:tc>
        <w:tc>
          <w:tcPr>
            <w:tcW w:w="2978" w:type="dxa"/>
          </w:tcPr>
          <w:p w14:paraId="5557C373" w14:textId="0C35FFC5" w:rsidR="0033530C" w:rsidRPr="0051385D" w:rsidRDefault="00D66D85" w:rsidP="005559B5">
            <w:pPr>
              <w:rPr>
                <w:rFonts w:ascii="Arial" w:hAnsi="Arial" w:cs="Arial"/>
                <w:sz w:val="18"/>
                <w:szCs w:val="18"/>
              </w:rPr>
            </w:pPr>
            <w:r>
              <w:rPr>
                <w:rFonts w:ascii="Arial" w:hAnsi="Arial" w:cs="Arial"/>
                <w:sz w:val="18"/>
                <w:szCs w:val="18"/>
              </w:rPr>
              <w:t xml:space="preserve">Einem großen Teil des Handels würde </w:t>
            </w:r>
            <w:r w:rsidR="00152E3A">
              <w:rPr>
                <w:rFonts w:ascii="Arial" w:hAnsi="Arial" w:cs="Arial"/>
                <w:sz w:val="18"/>
                <w:szCs w:val="18"/>
              </w:rPr>
              <w:t>von als unnötig empfundene Bürokratiebelastung befreit.</w:t>
            </w:r>
          </w:p>
        </w:tc>
      </w:tr>
      <w:tr w:rsidR="000D6EDA" w:rsidRPr="0051385D" w14:paraId="29642947" w14:textId="77777777" w:rsidTr="005559B5">
        <w:trPr>
          <w:trHeight w:val="2835"/>
        </w:trPr>
        <w:tc>
          <w:tcPr>
            <w:tcW w:w="988" w:type="dxa"/>
          </w:tcPr>
          <w:p w14:paraId="636B14AE" w14:textId="11E1931F" w:rsidR="000D6EDA" w:rsidRPr="0051385D" w:rsidRDefault="000D6EDA" w:rsidP="005559B5">
            <w:pPr>
              <w:rPr>
                <w:rFonts w:ascii="Arial" w:hAnsi="Arial" w:cs="Arial"/>
                <w:sz w:val="18"/>
                <w:szCs w:val="18"/>
              </w:rPr>
            </w:pPr>
            <w:r>
              <w:rPr>
                <w:rFonts w:ascii="Arial" w:hAnsi="Arial" w:cs="Arial"/>
                <w:sz w:val="18"/>
                <w:szCs w:val="18"/>
              </w:rPr>
              <w:t>BMUV</w:t>
            </w:r>
          </w:p>
          <w:p w14:paraId="34CD498E" w14:textId="39FA9D15" w:rsidR="000D6EDA" w:rsidRPr="0051385D" w:rsidRDefault="59F876C7" w:rsidP="005559B5">
            <w:pPr>
              <w:rPr>
                <w:rFonts w:ascii="Arial" w:hAnsi="Arial" w:cs="Arial"/>
                <w:sz w:val="18"/>
                <w:szCs w:val="18"/>
              </w:rPr>
            </w:pPr>
            <w:r w:rsidRPr="3FBED1CD">
              <w:rPr>
                <w:rFonts w:ascii="Arial" w:hAnsi="Arial" w:cs="Arial"/>
                <w:sz w:val="18"/>
                <w:szCs w:val="18"/>
              </w:rPr>
              <w:t>ECHA/DG ENV?</w:t>
            </w:r>
          </w:p>
        </w:tc>
        <w:tc>
          <w:tcPr>
            <w:tcW w:w="1842" w:type="dxa"/>
          </w:tcPr>
          <w:p w14:paraId="12E0E4A7" w14:textId="77777777" w:rsidR="000D6EDA" w:rsidRPr="003965FD" w:rsidRDefault="000D6EDA" w:rsidP="005559B5">
            <w:pPr>
              <w:rPr>
                <w:rFonts w:ascii="Arial" w:hAnsi="Arial" w:cs="Arial"/>
                <w:sz w:val="18"/>
                <w:szCs w:val="18"/>
              </w:rPr>
            </w:pPr>
            <w:r w:rsidRPr="003965FD">
              <w:rPr>
                <w:rFonts w:ascii="Arial" w:hAnsi="Arial" w:cs="Arial"/>
                <w:sz w:val="18"/>
                <w:szCs w:val="18"/>
              </w:rPr>
              <w:t>SCIP-Datenbank</w:t>
            </w:r>
          </w:p>
          <w:p w14:paraId="428BA72D" w14:textId="06303B63" w:rsidR="000D6EDA" w:rsidRPr="0051385D" w:rsidRDefault="000D6EDA" w:rsidP="005559B5">
            <w:pPr>
              <w:rPr>
                <w:rFonts w:ascii="Arial" w:hAnsi="Arial" w:cs="Arial"/>
                <w:sz w:val="18"/>
                <w:szCs w:val="18"/>
              </w:rPr>
            </w:pPr>
          </w:p>
        </w:tc>
        <w:tc>
          <w:tcPr>
            <w:tcW w:w="1418" w:type="dxa"/>
          </w:tcPr>
          <w:p w14:paraId="029933FB" w14:textId="0C470CAF" w:rsidR="000D6EDA" w:rsidRPr="0051385D" w:rsidRDefault="486D9552" w:rsidP="005559B5">
            <w:pPr>
              <w:rPr>
                <w:rFonts w:ascii="Arial" w:hAnsi="Arial" w:cs="Arial"/>
                <w:sz w:val="18"/>
                <w:szCs w:val="18"/>
              </w:rPr>
            </w:pPr>
            <w:r w:rsidRPr="3FBED1CD">
              <w:rPr>
                <w:rFonts w:ascii="Arial" w:hAnsi="Arial" w:cs="Arial"/>
                <w:sz w:val="18"/>
                <w:szCs w:val="18"/>
              </w:rPr>
              <w:t xml:space="preserve">Abfallrahmenrichtlinie </w:t>
            </w:r>
            <w:r w:rsidR="07F3736E" w:rsidRPr="3FBED1CD">
              <w:rPr>
                <w:rFonts w:ascii="Arial" w:hAnsi="Arial" w:cs="Arial"/>
                <w:sz w:val="18"/>
                <w:szCs w:val="18"/>
              </w:rPr>
              <w:t>Art. 9 (2)</w:t>
            </w:r>
          </w:p>
        </w:tc>
        <w:tc>
          <w:tcPr>
            <w:tcW w:w="4536" w:type="dxa"/>
          </w:tcPr>
          <w:p w14:paraId="17ECDDA0" w14:textId="30F62C9C" w:rsidR="000D6EDA" w:rsidRPr="0051385D" w:rsidRDefault="133D9D76" w:rsidP="005559B5">
            <w:pPr>
              <w:rPr>
                <w:rFonts w:ascii="Arial" w:hAnsi="Arial" w:cs="Arial"/>
                <w:sz w:val="18"/>
                <w:szCs w:val="18"/>
              </w:rPr>
            </w:pPr>
            <w:r w:rsidRPr="3FBED1CD">
              <w:rPr>
                <w:rFonts w:ascii="Arial" w:hAnsi="Arial" w:cs="Arial"/>
                <w:sz w:val="18"/>
                <w:szCs w:val="18"/>
              </w:rPr>
              <w:t>Die SCIP-Datenbank für Informationen über besorgniserregende Stoffe in Erzeugnissen als solche oder komplexen Gegenständen (Substances of Concern In Products) wurde mit der Abfallrahmenrichtlinie eingerichtet.</w:t>
            </w:r>
          </w:p>
          <w:p w14:paraId="55C6681A" w14:textId="4B04B135" w:rsidR="000D6EDA" w:rsidRPr="0051385D" w:rsidRDefault="133D9D76" w:rsidP="005559B5">
            <w:pPr>
              <w:rPr>
                <w:rFonts w:ascii="Arial" w:hAnsi="Arial" w:cs="Arial"/>
                <w:sz w:val="18"/>
                <w:szCs w:val="18"/>
              </w:rPr>
            </w:pPr>
            <w:r w:rsidRPr="3FBED1CD">
              <w:rPr>
                <w:rFonts w:ascii="Arial" w:hAnsi="Arial" w:cs="Arial"/>
                <w:sz w:val="18"/>
                <w:szCs w:val="18"/>
              </w:rPr>
              <w:t>Unternehmen, die den EU-Markt mit Erzeugnissen beliefern, die besonders besorgniserregende Stoffe (Substance of Very High Concern, SVHC) der Kandidatenliste in einer Konzentration von über 0,1 % Massenanteil (w/w) enthalten, sind verpflichtet, Informationen zu den betreffenden Erzeugnissen an die ECHA zu übermitteln.</w:t>
            </w:r>
          </w:p>
          <w:p w14:paraId="31903991" w14:textId="1D47BB93" w:rsidR="000D6EDA" w:rsidRPr="0051385D" w:rsidRDefault="000D6EDA" w:rsidP="005559B5">
            <w:pPr>
              <w:rPr>
                <w:rFonts w:ascii="Arial" w:hAnsi="Arial" w:cs="Arial"/>
                <w:sz w:val="18"/>
                <w:szCs w:val="18"/>
              </w:rPr>
            </w:pPr>
          </w:p>
          <w:p w14:paraId="4A6BD45D" w14:textId="57D34D77" w:rsidR="000D6EDA" w:rsidRPr="0051385D" w:rsidRDefault="5B2727A1" w:rsidP="005559B5">
            <w:pPr>
              <w:rPr>
                <w:rFonts w:ascii="Arial" w:hAnsi="Arial" w:cs="Arial"/>
                <w:sz w:val="18"/>
                <w:szCs w:val="18"/>
              </w:rPr>
            </w:pPr>
            <w:r w:rsidRPr="3FBED1CD">
              <w:rPr>
                <w:rFonts w:ascii="Arial" w:hAnsi="Arial" w:cs="Arial"/>
                <w:sz w:val="18"/>
                <w:szCs w:val="18"/>
              </w:rPr>
              <w:t xml:space="preserve">Die SCIP-Datenbank ist für Verbraucher zu komplex und für die Abfallwirtschaft nicht praxistauglich. Eine SCIP-Meldung entbindet Unternehmen nicht von der Pflicht, ihre gewerblichen Abnehmer gemäß REACh Art. 33.1 zu informieren. </w:t>
            </w:r>
            <w:r w:rsidR="44332003" w:rsidRPr="3FBED1CD">
              <w:rPr>
                <w:rFonts w:ascii="Arial" w:hAnsi="Arial" w:cs="Arial"/>
                <w:sz w:val="18"/>
                <w:szCs w:val="18"/>
              </w:rPr>
              <w:t>D</w:t>
            </w:r>
            <w:r w:rsidRPr="3FBED1CD">
              <w:rPr>
                <w:rFonts w:ascii="Arial" w:hAnsi="Arial" w:cs="Arial"/>
                <w:sz w:val="18"/>
                <w:szCs w:val="18"/>
              </w:rPr>
              <w:t xml:space="preserve">ie Anforderungen der SCIP-Datenbank </w:t>
            </w:r>
            <w:r w:rsidR="6447643B" w:rsidRPr="3FBED1CD">
              <w:rPr>
                <w:rFonts w:ascii="Arial" w:hAnsi="Arial" w:cs="Arial"/>
                <w:sz w:val="18"/>
                <w:szCs w:val="18"/>
              </w:rPr>
              <w:t xml:space="preserve">gehen </w:t>
            </w:r>
            <w:r w:rsidRPr="3FBED1CD">
              <w:rPr>
                <w:rFonts w:ascii="Arial" w:hAnsi="Arial" w:cs="Arial"/>
                <w:sz w:val="18"/>
                <w:szCs w:val="18"/>
              </w:rPr>
              <w:t xml:space="preserve">über REACh Art. 33 hinaus. Zudem gibt es technische Mängel und unklare Vorgaben zur Dateneingabe, </w:t>
            </w:r>
            <w:r w:rsidR="00EB3720" w:rsidRPr="3FBED1CD">
              <w:rPr>
                <w:rFonts w:ascii="Arial" w:hAnsi="Arial" w:cs="Arial"/>
                <w:sz w:val="18"/>
                <w:szCs w:val="18"/>
              </w:rPr>
              <w:t>bei gleichzeitig fehlendem Schutz</w:t>
            </w:r>
            <w:r w:rsidRPr="3FBED1CD">
              <w:rPr>
                <w:rFonts w:ascii="Arial" w:hAnsi="Arial" w:cs="Arial"/>
                <w:sz w:val="18"/>
                <w:szCs w:val="18"/>
              </w:rPr>
              <w:t xml:space="preserve"> vor fehlerhaften und rufschädigenden Einträgen.</w:t>
            </w:r>
          </w:p>
        </w:tc>
        <w:tc>
          <w:tcPr>
            <w:tcW w:w="2835" w:type="dxa"/>
          </w:tcPr>
          <w:p w14:paraId="25BEC5C3" w14:textId="445E206F" w:rsidR="000D6EDA" w:rsidRPr="0051385D" w:rsidRDefault="31AA423B" w:rsidP="005559B5">
            <w:pPr>
              <w:rPr>
                <w:rFonts w:ascii="Arial" w:hAnsi="Arial" w:cs="Arial"/>
                <w:sz w:val="18"/>
                <w:szCs w:val="18"/>
              </w:rPr>
            </w:pPr>
            <w:r w:rsidRPr="3FBED1CD">
              <w:rPr>
                <w:rFonts w:ascii="Arial" w:hAnsi="Arial" w:cs="Arial"/>
                <w:sz w:val="18"/>
                <w:szCs w:val="18"/>
              </w:rPr>
              <w:t xml:space="preserve">Die SCIP-Datenbank </w:t>
            </w:r>
            <w:r w:rsidR="7085D0F1" w:rsidRPr="3FBED1CD">
              <w:rPr>
                <w:rFonts w:ascii="Arial" w:hAnsi="Arial" w:cs="Arial"/>
                <w:sz w:val="18"/>
                <w:szCs w:val="18"/>
              </w:rPr>
              <w:t>bringt</w:t>
            </w:r>
            <w:r w:rsidRPr="3FBED1CD">
              <w:rPr>
                <w:rFonts w:ascii="Arial" w:hAnsi="Arial" w:cs="Arial"/>
                <w:sz w:val="18"/>
                <w:szCs w:val="18"/>
              </w:rPr>
              <w:t xml:space="preserve"> bürokratische</w:t>
            </w:r>
            <w:r w:rsidR="75865AFC" w:rsidRPr="3FBED1CD">
              <w:rPr>
                <w:rFonts w:ascii="Arial" w:hAnsi="Arial" w:cs="Arial"/>
                <w:sz w:val="18"/>
                <w:szCs w:val="18"/>
              </w:rPr>
              <w:t>n</w:t>
            </w:r>
            <w:r w:rsidRPr="3FBED1CD">
              <w:rPr>
                <w:rFonts w:ascii="Arial" w:hAnsi="Arial" w:cs="Arial"/>
                <w:sz w:val="18"/>
                <w:szCs w:val="18"/>
              </w:rPr>
              <w:t xml:space="preserve"> Aufwand </w:t>
            </w:r>
            <w:r w:rsidR="07B9D7B3" w:rsidRPr="3FBED1CD">
              <w:rPr>
                <w:rFonts w:ascii="Arial" w:hAnsi="Arial" w:cs="Arial"/>
                <w:sz w:val="18"/>
                <w:szCs w:val="18"/>
              </w:rPr>
              <w:t xml:space="preserve">für Unternehmen </w:t>
            </w:r>
            <w:r w:rsidRPr="3FBED1CD">
              <w:rPr>
                <w:rFonts w:ascii="Arial" w:hAnsi="Arial" w:cs="Arial"/>
                <w:sz w:val="18"/>
                <w:szCs w:val="18"/>
              </w:rPr>
              <w:t xml:space="preserve">ohne praktischen </w:t>
            </w:r>
            <w:r w:rsidR="2C605B9B" w:rsidRPr="3FBED1CD">
              <w:rPr>
                <w:rFonts w:ascii="Arial" w:hAnsi="Arial" w:cs="Arial"/>
                <w:sz w:val="18"/>
                <w:szCs w:val="18"/>
              </w:rPr>
              <w:t>Mehrwert</w:t>
            </w:r>
            <w:r w:rsidRPr="3FBED1CD">
              <w:rPr>
                <w:rFonts w:ascii="Arial" w:hAnsi="Arial" w:cs="Arial"/>
                <w:sz w:val="18"/>
                <w:szCs w:val="18"/>
              </w:rPr>
              <w:t xml:space="preserve">. </w:t>
            </w:r>
            <w:r w:rsidR="67F8A225" w:rsidRPr="3FBED1CD">
              <w:rPr>
                <w:rFonts w:ascii="Arial" w:hAnsi="Arial" w:cs="Arial"/>
                <w:sz w:val="18"/>
                <w:szCs w:val="18"/>
              </w:rPr>
              <w:t>Sie sollte daher abgeschafft werden.</w:t>
            </w:r>
            <w:r w:rsidR="7B7512B9" w:rsidRPr="3FBED1CD">
              <w:rPr>
                <w:rFonts w:ascii="Arial" w:hAnsi="Arial" w:cs="Arial"/>
                <w:sz w:val="18"/>
                <w:szCs w:val="18"/>
              </w:rPr>
              <w:t xml:space="preserve"> </w:t>
            </w:r>
            <w:r w:rsidR="6684F788" w:rsidRPr="3FBED1CD">
              <w:rPr>
                <w:rFonts w:ascii="Arial" w:hAnsi="Arial" w:cs="Arial"/>
                <w:sz w:val="18"/>
                <w:szCs w:val="18"/>
              </w:rPr>
              <w:t xml:space="preserve">Dies ist insbesondere wichtig vor dem Hintergrund der Einführung des digitalen Produktpasses, welcher zukünftig die Informationen für jedes </w:t>
            </w:r>
            <w:r w:rsidR="232FD52D" w:rsidRPr="3FBED1CD">
              <w:rPr>
                <w:rFonts w:ascii="Arial" w:hAnsi="Arial" w:cs="Arial"/>
                <w:sz w:val="18"/>
                <w:szCs w:val="18"/>
              </w:rPr>
              <w:t xml:space="preserve">Produkt enthält, welche in der SCIP Datenbank hinterlegt werden sollten. </w:t>
            </w:r>
          </w:p>
        </w:tc>
        <w:tc>
          <w:tcPr>
            <w:tcW w:w="2978" w:type="dxa"/>
          </w:tcPr>
          <w:p w14:paraId="22B58962" w14:textId="6B5C6466" w:rsidR="000D6EDA" w:rsidRPr="0051385D" w:rsidRDefault="6684F788" w:rsidP="005559B5">
            <w:pPr>
              <w:rPr>
                <w:rFonts w:ascii="Arial" w:hAnsi="Arial" w:cs="Arial"/>
                <w:sz w:val="18"/>
                <w:szCs w:val="18"/>
              </w:rPr>
            </w:pPr>
            <w:r w:rsidRPr="3FBED1CD">
              <w:rPr>
                <w:rFonts w:ascii="Arial" w:hAnsi="Arial" w:cs="Arial"/>
                <w:sz w:val="18"/>
                <w:szCs w:val="18"/>
              </w:rPr>
              <w:t xml:space="preserve">Reduzierung von Bürokratieaufwand und Abschaffung von Doppelberichtsstrukturen. </w:t>
            </w:r>
          </w:p>
        </w:tc>
      </w:tr>
      <w:tr w:rsidR="00BB77D6" w:rsidRPr="0051385D" w14:paraId="73BB31D6" w14:textId="77777777" w:rsidTr="005559B5">
        <w:trPr>
          <w:trHeight w:val="2835"/>
        </w:trPr>
        <w:tc>
          <w:tcPr>
            <w:tcW w:w="988" w:type="dxa"/>
          </w:tcPr>
          <w:p w14:paraId="448B8A84" w14:textId="28A464B5" w:rsidR="00BB77D6" w:rsidRPr="0051385D" w:rsidRDefault="00BB77D6" w:rsidP="005559B5">
            <w:pPr>
              <w:rPr>
                <w:rFonts w:ascii="Arial" w:hAnsi="Arial" w:cs="Arial"/>
                <w:sz w:val="18"/>
                <w:szCs w:val="18"/>
              </w:rPr>
            </w:pPr>
            <w:r w:rsidRPr="0A55D06E">
              <w:rPr>
                <w:rFonts w:ascii="Arial" w:hAnsi="Arial" w:cs="Arial"/>
                <w:sz w:val="18"/>
                <w:szCs w:val="18"/>
              </w:rPr>
              <w:t>DG ENV/DG GROW</w:t>
            </w:r>
          </w:p>
        </w:tc>
        <w:tc>
          <w:tcPr>
            <w:tcW w:w="1842" w:type="dxa"/>
          </w:tcPr>
          <w:p w14:paraId="384DC178" w14:textId="45B82F8C" w:rsidR="00BB77D6" w:rsidRPr="003965FD" w:rsidRDefault="00BB77D6" w:rsidP="005559B5">
            <w:pPr>
              <w:rPr>
                <w:rFonts w:ascii="Arial" w:hAnsi="Arial" w:cs="Arial"/>
                <w:sz w:val="18"/>
                <w:szCs w:val="18"/>
              </w:rPr>
            </w:pPr>
            <w:r w:rsidRPr="7F9C6913">
              <w:rPr>
                <w:rFonts w:ascii="Arial" w:hAnsi="Arial" w:cs="Arial"/>
                <w:sz w:val="18"/>
                <w:szCs w:val="18"/>
              </w:rPr>
              <w:t>Öko-Design Verordnung – Berichtspflichten zur Vernichtung von Konsumgütern</w:t>
            </w:r>
          </w:p>
        </w:tc>
        <w:tc>
          <w:tcPr>
            <w:tcW w:w="1418" w:type="dxa"/>
          </w:tcPr>
          <w:p w14:paraId="1A03F86E" w14:textId="183EC9EE" w:rsidR="00BB77D6" w:rsidRPr="0051385D" w:rsidRDefault="16D59E05" w:rsidP="005559B5">
            <w:pPr>
              <w:rPr>
                <w:rFonts w:ascii="Arial" w:hAnsi="Arial" w:cs="Arial"/>
                <w:sz w:val="18"/>
                <w:szCs w:val="18"/>
              </w:rPr>
            </w:pPr>
            <w:r w:rsidRPr="7A8FA11F">
              <w:rPr>
                <w:rFonts w:ascii="Arial" w:hAnsi="Arial" w:cs="Arial"/>
                <w:sz w:val="18"/>
                <w:szCs w:val="18"/>
              </w:rPr>
              <w:t>Artikel 24</w:t>
            </w:r>
          </w:p>
        </w:tc>
        <w:tc>
          <w:tcPr>
            <w:tcW w:w="4536" w:type="dxa"/>
          </w:tcPr>
          <w:p w14:paraId="541A1D60" w14:textId="2CCD94C2" w:rsidR="00BB77D6" w:rsidRPr="0051385D" w:rsidRDefault="0D3E7DC3" w:rsidP="005559B5">
            <w:pPr>
              <w:rPr>
                <w:rFonts w:ascii="Arial" w:hAnsi="Arial" w:cs="Arial"/>
                <w:sz w:val="18"/>
                <w:szCs w:val="18"/>
              </w:rPr>
            </w:pPr>
            <w:r w:rsidRPr="7A8FA11F">
              <w:rPr>
                <w:rFonts w:ascii="Arial" w:hAnsi="Arial" w:cs="Arial"/>
                <w:sz w:val="18"/>
                <w:szCs w:val="18"/>
              </w:rPr>
              <w:t>Wirtschaftsteilnehmer, die unverkaufte Verbraucherprodukte unmittelbar entsorgen oder in ihrem Auftrag entsorgen lassen, müssen Informationen über die vernichteten Verbrauchsprodukte offenlegen (</w:t>
            </w:r>
            <w:r w:rsidR="0BFFC375" w:rsidRPr="7A8FA11F">
              <w:rPr>
                <w:rFonts w:ascii="Arial" w:hAnsi="Arial" w:cs="Arial"/>
                <w:sz w:val="18"/>
                <w:szCs w:val="18"/>
              </w:rPr>
              <w:t xml:space="preserve">Produktart, </w:t>
            </w:r>
            <w:r w:rsidRPr="7A8FA11F">
              <w:rPr>
                <w:rFonts w:ascii="Arial" w:hAnsi="Arial" w:cs="Arial"/>
                <w:sz w:val="18"/>
                <w:szCs w:val="18"/>
              </w:rPr>
              <w:t>Gewicht, An</w:t>
            </w:r>
            <w:r w:rsidR="5B87F89C" w:rsidRPr="7A8FA11F">
              <w:rPr>
                <w:rFonts w:ascii="Arial" w:hAnsi="Arial" w:cs="Arial"/>
                <w:sz w:val="18"/>
                <w:szCs w:val="18"/>
              </w:rPr>
              <w:t>zahl</w:t>
            </w:r>
            <w:r w:rsidR="1C6CD532" w:rsidRPr="7A8FA11F">
              <w:rPr>
                <w:rFonts w:ascii="Arial" w:hAnsi="Arial" w:cs="Arial"/>
                <w:sz w:val="18"/>
                <w:szCs w:val="18"/>
              </w:rPr>
              <w:t>, Gründe für die Entsorgung,</w:t>
            </w:r>
            <w:r w:rsidR="484EC995" w:rsidRPr="7A8FA11F">
              <w:rPr>
                <w:rFonts w:ascii="Arial" w:hAnsi="Arial" w:cs="Arial"/>
                <w:sz w:val="18"/>
                <w:szCs w:val="18"/>
              </w:rPr>
              <w:t xml:space="preserve"> falls zutreffend die Ausnahme</w:t>
            </w:r>
            <w:r w:rsidR="42DD5D9A" w:rsidRPr="7A8FA11F">
              <w:rPr>
                <w:rFonts w:ascii="Arial" w:hAnsi="Arial" w:cs="Arial"/>
                <w:sz w:val="18"/>
                <w:szCs w:val="18"/>
              </w:rPr>
              <w:t xml:space="preserve"> vom Vernichtungsverbot</w:t>
            </w:r>
            <w:r w:rsidR="484EC995" w:rsidRPr="7A8FA11F">
              <w:rPr>
                <w:rFonts w:ascii="Arial" w:hAnsi="Arial" w:cs="Arial"/>
                <w:sz w:val="18"/>
                <w:szCs w:val="18"/>
              </w:rPr>
              <w:t xml:space="preserve">, </w:t>
            </w:r>
            <w:r w:rsidR="7604FBC8" w:rsidRPr="7A8FA11F">
              <w:rPr>
                <w:rFonts w:ascii="Arial" w:hAnsi="Arial" w:cs="Arial"/>
                <w:sz w:val="18"/>
                <w:szCs w:val="18"/>
              </w:rPr>
              <w:t>den Anteil der zugeführten entsorgten Produkte</w:t>
            </w:r>
            <w:r w:rsidR="3295BF3A" w:rsidRPr="7A8FA11F">
              <w:rPr>
                <w:rFonts w:ascii="Arial" w:hAnsi="Arial" w:cs="Arial"/>
                <w:sz w:val="18"/>
                <w:szCs w:val="18"/>
              </w:rPr>
              <w:t xml:space="preserve"> zu: Vorbereitung zur Wiederverwendung einschließlich Instandsetzung und Wiederaufarbeitung, zum Recycling, zu sonstiger Verwertung; geplante oder umgesetz</w:t>
            </w:r>
            <w:r w:rsidR="6045B058" w:rsidRPr="7A8FA11F">
              <w:rPr>
                <w:rFonts w:ascii="Arial" w:hAnsi="Arial" w:cs="Arial"/>
                <w:sz w:val="18"/>
                <w:szCs w:val="18"/>
              </w:rPr>
              <w:t>t</w:t>
            </w:r>
            <w:r w:rsidR="3295BF3A" w:rsidRPr="7A8FA11F">
              <w:rPr>
                <w:rFonts w:ascii="Arial" w:hAnsi="Arial" w:cs="Arial"/>
                <w:sz w:val="18"/>
                <w:szCs w:val="18"/>
              </w:rPr>
              <w:t xml:space="preserve">e Maßnahmen zur </w:t>
            </w:r>
            <w:r w:rsidR="6FCB34BF" w:rsidRPr="7A8FA11F">
              <w:rPr>
                <w:rFonts w:ascii="Arial" w:hAnsi="Arial" w:cs="Arial"/>
                <w:sz w:val="18"/>
                <w:szCs w:val="18"/>
              </w:rPr>
              <w:t>Verhinderung der Vernichtung</w:t>
            </w:r>
            <w:r w:rsidR="3295BF3A" w:rsidRPr="7A8FA11F">
              <w:rPr>
                <w:rFonts w:ascii="Arial" w:hAnsi="Arial" w:cs="Arial"/>
                <w:sz w:val="18"/>
                <w:szCs w:val="18"/>
              </w:rPr>
              <w:t>)</w:t>
            </w:r>
            <w:r w:rsidR="0236BEEA" w:rsidRPr="7A8FA11F">
              <w:rPr>
                <w:rFonts w:ascii="Arial" w:hAnsi="Arial" w:cs="Arial"/>
                <w:sz w:val="18"/>
                <w:szCs w:val="18"/>
              </w:rPr>
              <w:t xml:space="preserve">. </w:t>
            </w:r>
          </w:p>
          <w:p w14:paraId="255E53A7" w14:textId="13851363" w:rsidR="00BB77D6" w:rsidRPr="0051385D" w:rsidRDefault="0236BEEA" w:rsidP="005559B5">
            <w:pPr>
              <w:rPr>
                <w:rFonts w:ascii="Arial" w:hAnsi="Arial" w:cs="Arial"/>
                <w:sz w:val="18"/>
                <w:szCs w:val="18"/>
              </w:rPr>
            </w:pPr>
            <w:r w:rsidRPr="7A8FA11F">
              <w:rPr>
                <w:rFonts w:ascii="Arial" w:hAnsi="Arial" w:cs="Arial"/>
                <w:sz w:val="18"/>
                <w:szCs w:val="18"/>
              </w:rPr>
              <w:t>Dieser Artikel findet auf Kleinst- und Kleinunternehmen keine Anwendung. Er findet auf mittlere Unternehmen ab dem 19. Juli 2030 Anwendung.</w:t>
            </w:r>
          </w:p>
        </w:tc>
        <w:tc>
          <w:tcPr>
            <w:tcW w:w="2835" w:type="dxa"/>
          </w:tcPr>
          <w:p w14:paraId="5F146301" w14:textId="1F84D2E2" w:rsidR="00BB77D6" w:rsidRPr="0051385D" w:rsidRDefault="0236BEEA" w:rsidP="005559B5">
            <w:pPr>
              <w:rPr>
                <w:rFonts w:ascii="Arial" w:hAnsi="Arial" w:cs="Arial"/>
                <w:sz w:val="18"/>
                <w:szCs w:val="18"/>
              </w:rPr>
            </w:pPr>
            <w:r w:rsidRPr="7A8FA11F">
              <w:rPr>
                <w:rFonts w:ascii="Arial" w:hAnsi="Arial" w:cs="Arial"/>
                <w:sz w:val="18"/>
                <w:szCs w:val="18"/>
              </w:rPr>
              <w:t xml:space="preserve">Die Berichtspflichten sollten gestrichen oder auf das unbedingt notwendige reduziert werden (Produktart, Anzahl, Gewicht). </w:t>
            </w:r>
          </w:p>
          <w:p w14:paraId="0BDB544C" w14:textId="0FF1825C" w:rsidR="00BB77D6" w:rsidRPr="0051385D" w:rsidRDefault="2E71720C" w:rsidP="005559B5">
            <w:pPr>
              <w:rPr>
                <w:rFonts w:ascii="Arial" w:hAnsi="Arial" w:cs="Arial"/>
                <w:sz w:val="18"/>
                <w:szCs w:val="18"/>
              </w:rPr>
            </w:pPr>
            <w:r w:rsidRPr="7A8FA11F">
              <w:rPr>
                <w:rFonts w:ascii="Arial" w:hAnsi="Arial" w:cs="Arial"/>
                <w:sz w:val="18"/>
                <w:szCs w:val="18"/>
              </w:rPr>
              <w:t>Falls die Berichtspflicht bleibt, sollte ein Mindestschwellenwert eingeführt werden, um sicherzustellen, dass nur erhebliche Vernichtungen nicht verkaufter Konsumgüter gemeldet werden.</w:t>
            </w:r>
          </w:p>
          <w:p w14:paraId="32EF3838" w14:textId="0B944EC5" w:rsidR="00BB77D6" w:rsidRPr="0051385D" w:rsidRDefault="705F995D" w:rsidP="005559B5">
            <w:pPr>
              <w:rPr>
                <w:rFonts w:ascii="Arial" w:hAnsi="Arial" w:cs="Arial"/>
                <w:sz w:val="18"/>
                <w:szCs w:val="18"/>
              </w:rPr>
            </w:pPr>
            <w:r w:rsidRPr="7A8FA11F">
              <w:rPr>
                <w:rFonts w:ascii="Arial" w:hAnsi="Arial" w:cs="Arial"/>
                <w:sz w:val="18"/>
                <w:szCs w:val="18"/>
              </w:rPr>
              <w:t xml:space="preserve"> </w:t>
            </w:r>
          </w:p>
          <w:p w14:paraId="2EBBF048" w14:textId="7FD52F22" w:rsidR="00BB77D6" w:rsidRPr="0051385D" w:rsidRDefault="5184DBDC" w:rsidP="005559B5">
            <w:r w:rsidRPr="7A8FA11F">
              <w:rPr>
                <w:rFonts w:ascii="Arial" w:hAnsi="Arial" w:cs="Arial"/>
                <w:sz w:val="18"/>
                <w:szCs w:val="18"/>
              </w:rPr>
              <w:t>Um Rechtssicherheit zu schaffen und den Verwaltungsaufwand für Unternehmen zu minimieren, ist ein standardisiertes EU-Berichtsformat mit einheitlichen zugrunde liegenden Definitionen erforderlich.</w:t>
            </w:r>
          </w:p>
        </w:tc>
        <w:tc>
          <w:tcPr>
            <w:tcW w:w="2978" w:type="dxa"/>
          </w:tcPr>
          <w:p w14:paraId="7AFDBFFC" w14:textId="70DDD29A" w:rsidR="00BB77D6" w:rsidRPr="0051385D" w:rsidRDefault="7876D512" w:rsidP="005559B5">
            <w:pPr>
              <w:rPr>
                <w:rFonts w:ascii="Arial" w:hAnsi="Arial" w:cs="Arial"/>
                <w:sz w:val="18"/>
                <w:szCs w:val="18"/>
              </w:rPr>
            </w:pPr>
            <w:r w:rsidRPr="7A8FA11F">
              <w:rPr>
                <w:rFonts w:ascii="Arial" w:hAnsi="Arial" w:cs="Arial"/>
                <w:sz w:val="18"/>
                <w:szCs w:val="18"/>
              </w:rPr>
              <w:t>Bürokratiekosten werden vermieden/reduziert.</w:t>
            </w:r>
          </w:p>
        </w:tc>
      </w:tr>
      <w:tr w:rsidR="00892FAC" w:rsidRPr="0051385D" w14:paraId="3FB20F3C" w14:textId="77777777" w:rsidTr="00892FAC">
        <w:trPr>
          <w:trHeight w:val="2835"/>
        </w:trPr>
        <w:tc>
          <w:tcPr>
            <w:tcW w:w="988" w:type="dxa"/>
          </w:tcPr>
          <w:p w14:paraId="78DA9E79" w14:textId="44FBB5F3" w:rsidR="00892FAC" w:rsidRPr="0051385D" w:rsidRDefault="000E5E8B" w:rsidP="009B12CC">
            <w:pPr>
              <w:rPr>
                <w:rFonts w:ascii="Arial" w:hAnsi="Arial" w:cs="Arial"/>
                <w:sz w:val="18"/>
                <w:szCs w:val="18"/>
              </w:rPr>
            </w:pPr>
            <w:r>
              <w:rPr>
                <w:rFonts w:ascii="Arial" w:hAnsi="Arial" w:cs="Arial"/>
                <w:sz w:val="18"/>
                <w:szCs w:val="18"/>
              </w:rPr>
              <w:t>DG Clima</w:t>
            </w:r>
          </w:p>
        </w:tc>
        <w:tc>
          <w:tcPr>
            <w:tcW w:w="1842" w:type="dxa"/>
          </w:tcPr>
          <w:p w14:paraId="75FE6FCE" w14:textId="77777777" w:rsidR="00892FAC" w:rsidRPr="003965FD" w:rsidRDefault="00892FAC" w:rsidP="009B12CC">
            <w:pPr>
              <w:rPr>
                <w:rFonts w:ascii="Arial" w:hAnsi="Arial" w:cs="Arial"/>
                <w:sz w:val="18"/>
                <w:szCs w:val="18"/>
              </w:rPr>
            </w:pPr>
            <w:r w:rsidRPr="003965FD">
              <w:rPr>
                <w:rFonts w:ascii="Arial" w:hAnsi="Arial" w:cs="Arial"/>
                <w:sz w:val="18"/>
                <w:szCs w:val="18"/>
              </w:rPr>
              <w:t>EPREL-Datenbank</w:t>
            </w:r>
          </w:p>
          <w:p w14:paraId="3D1428BF" w14:textId="77777777" w:rsidR="00892FAC" w:rsidRPr="003965FD" w:rsidRDefault="00892FAC" w:rsidP="009B12CC">
            <w:pPr>
              <w:rPr>
                <w:rFonts w:ascii="Arial" w:hAnsi="Arial" w:cs="Arial"/>
                <w:sz w:val="18"/>
                <w:szCs w:val="18"/>
              </w:rPr>
            </w:pPr>
          </w:p>
        </w:tc>
        <w:tc>
          <w:tcPr>
            <w:tcW w:w="1418" w:type="dxa"/>
          </w:tcPr>
          <w:p w14:paraId="705C6E55" w14:textId="77777777" w:rsidR="00892FAC" w:rsidRDefault="000E5E8B" w:rsidP="009B12CC">
            <w:pPr>
              <w:rPr>
                <w:rFonts w:ascii="Arial" w:hAnsi="Arial" w:cs="Arial"/>
                <w:sz w:val="18"/>
                <w:szCs w:val="18"/>
              </w:rPr>
            </w:pPr>
            <w:r w:rsidRPr="000E5E8B">
              <w:rPr>
                <w:rFonts w:ascii="Arial" w:hAnsi="Arial" w:cs="Arial"/>
                <w:sz w:val="18"/>
                <w:szCs w:val="18"/>
              </w:rPr>
              <w:t>Verordnung 1369/2017/EU</w:t>
            </w:r>
          </w:p>
          <w:p w14:paraId="496C0B6A" w14:textId="72C54444" w:rsidR="000E5E8B" w:rsidRPr="0051385D" w:rsidRDefault="000E5E8B" w:rsidP="009B12CC">
            <w:pPr>
              <w:rPr>
                <w:rFonts w:ascii="Arial" w:hAnsi="Arial" w:cs="Arial"/>
                <w:sz w:val="18"/>
                <w:szCs w:val="18"/>
              </w:rPr>
            </w:pPr>
            <w:r>
              <w:rPr>
                <w:rFonts w:ascii="Arial" w:hAnsi="Arial" w:cs="Arial"/>
                <w:sz w:val="18"/>
                <w:szCs w:val="18"/>
              </w:rPr>
              <w:t>Artikel 12</w:t>
            </w:r>
          </w:p>
        </w:tc>
        <w:tc>
          <w:tcPr>
            <w:tcW w:w="4536" w:type="dxa"/>
          </w:tcPr>
          <w:p w14:paraId="50FECE27" w14:textId="25A85071" w:rsidR="00892FAC" w:rsidRPr="0051385D" w:rsidRDefault="00380E39" w:rsidP="009B12CC">
            <w:pPr>
              <w:rPr>
                <w:rFonts w:ascii="Arial" w:hAnsi="Arial" w:cs="Arial"/>
                <w:sz w:val="18"/>
                <w:szCs w:val="18"/>
              </w:rPr>
            </w:pPr>
            <w:r w:rsidRPr="00380E39">
              <w:rPr>
                <w:rFonts w:ascii="Arial" w:hAnsi="Arial" w:cs="Arial"/>
                <w:sz w:val="18"/>
                <w:szCs w:val="18"/>
              </w:rPr>
              <w:t>Hersteller von Reifen und Elektroger</w:t>
            </w:r>
            <w:r w:rsidRPr="00380E39">
              <w:rPr>
                <w:rFonts w:ascii="Arial" w:hAnsi="Arial" w:cs="Arial" w:hint="cs"/>
                <w:sz w:val="18"/>
                <w:szCs w:val="18"/>
              </w:rPr>
              <w:t>ä</w:t>
            </w:r>
            <w:r w:rsidRPr="00380E39">
              <w:rPr>
                <w:rFonts w:ascii="Arial" w:hAnsi="Arial" w:cs="Arial"/>
                <w:sz w:val="18"/>
                <w:szCs w:val="18"/>
              </w:rPr>
              <w:t xml:space="preserve">ten </w:t>
            </w:r>
            <w:r>
              <w:rPr>
                <w:rFonts w:ascii="Arial" w:hAnsi="Arial" w:cs="Arial"/>
                <w:sz w:val="18"/>
                <w:szCs w:val="18"/>
              </w:rPr>
              <w:t>müssen seit</w:t>
            </w:r>
            <w:r w:rsidRPr="00380E39">
              <w:rPr>
                <w:rFonts w:ascii="Arial" w:hAnsi="Arial" w:cs="Arial"/>
                <w:sz w:val="18"/>
                <w:szCs w:val="18"/>
              </w:rPr>
              <w:t xml:space="preserve"> 22. Oktober 2024 sind sie ihre Unternehmensdaten</w:t>
            </w:r>
            <w:r>
              <w:rPr>
                <w:rFonts w:ascii="Arial" w:hAnsi="Arial" w:cs="Arial"/>
                <w:sz w:val="18"/>
                <w:szCs w:val="18"/>
              </w:rPr>
              <w:t xml:space="preserve"> und Produktinformationen</w:t>
            </w:r>
            <w:r w:rsidR="0077087F">
              <w:rPr>
                <w:rFonts w:ascii="Arial" w:hAnsi="Arial" w:cs="Arial"/>
                <w:sz w:val="18"/>
                <w:szCs w:val="18"/>
              </w:rPr>
              <w:t xml:space="preserve"> in einer Produktdatenbank der EU einreichen (EREL-Datenbank). Dafür müssen sie sich</w:t>
            </w:r>
            <w:r w:rsidRPr="00380E39">
              <w:rPr>
                <w:rFonts w:ascii="Arial" w:hAnsi="Arial" w:cs="Arial"/>
                <w:sz w:val="18"/>
                <w:szCs w:val="18"/>
              </w:rPr>
              <w:t xml:space="preserve"> mit einem qualifizierten elektronischen Siegel</w:t>
            </w:r>
            <w:r w:rsidR="00B950C4">
              <w:rPr>
                <w:rFonts w:ascii="Arial" w:hAnsi="Arial" w:cs="Arial"/>
                <w:sz w:val="18"/>
                <w:szCs w:val="18"/>
              </w:rPr>
              <w:t xml:space="preserve"> autorisieren. Der Erwerb und die Verwendung dieser Authentifizierung </w:t>
            </w:r>
            <w:r w:rsidR="000E5E8B">
              <w:rPr>
                <w:rFonts w:ascii="Arial" w:hAnsi="Arial" w:cs="Arial"/>
                <w:sz w:val="18"/>
                <w:szCs w:val="18"/>
              </w:rPr>
              <w:t>kosten</w:t>
            </w:r>
            <w:r w:rsidR="00B950C4">
              <w:rPr>
                <w:rFonts w:ascii="Arial" w:hAnsi="Arial" w:cs="Arial"/>
                <w:sz w:val="18"/>
                <w:szCs w:val="18"/>
              </w:rPr>
              <w:t xml:space="preserve"> mehrere Hundert Euro</w:t>
            </w:r>
            <w:r w:rsidR="00AB72EB">
              <w:rPr>
                <w:rFonts w:ascii="Arial" w:hAnsi="Arial" w:cs="Arial"/>
                <w:sz w:val="18"/>
                <w:szCs w:val="18"/>
              </w:rPr>
              <w:t xml:space="preserve"> und Aufwand zur Einrichtung der Hard- und Software. </w:t>
            </w:r>
            <w:r w:rsidR="0092628F">
              <w:rPr>
                <w:rFonts w:ascii="Arial" w:hAnsi="Arial" w:cs="Arial"/>
                <w:sz w:val="18"/>
                <w:szCs w:val="18"/>
              </w:rPr>
              <w:t xml:space="preserve">Kleine Unternehmen müssen ggf. qualifizierte </w:t>
            </w:r>
            <w:r w:rsidR="00343528">
              <w:rPr>
                <w:rFonts w:ascii="Arial" w:hAnsi="Arial" w:cs="Arial"/>
                <w:sz w:val="18"/>
                <w:szCs w:val="18"/>
              </w:rPr>
              <w:t>Signaturen verwenden. Die korrekte Durchführung der Eintragung konnten viele Unternehmen mit Einführung der Pflicht nicht durchführen</w:t>
            </w:r>
            <w:r w:rsidR="008526B7">
              <w:rPr>
                <w:rFonts w:ascii="Arial" w:hAnsi="Arial" w:cs="Arial"/>
                <w:sz w:val="18"/>
                <w:szCs w:val="18"/>
              </w:rPr>
              <w:t xml:space="preserve"> und mussten teilweise den Handel mit den betroffenen Produkten </w:t>
            </w:r>
            <w:r w:rsidR="00A3180F">
              <w:rPr>
                <w:rFonts w:ascii="Arial" w:hAnsi="Arial" w:cs="Arial"/>
                <w:sz w:val="18"/>
                <w:szCs w:val="18"/>
              </w:rPr>
              <w:t>aussetzen.</w:t>
            </w:r>
          </w:p>
        </w:tc>
        <w:tc>
          <w:tcPr>
            <w:tcW w:w="2835" w:type="dxa"/>
          </w:tcPr>
          <w:p w14:paraId="5A37968B" w14:textId="20805A5B" w:rsidR="00892FAC" w:rsidRPr="0051385D" w:rsidRDefault="000E5E8B" w:rsidP="009B12CC">
            <w:pPr>
              <w:rPr>
                <w:rFonts w:ascii="Arial" w:hAnsi="Arial" w:cs="Arial"/>
                <w:sz w:val="18"/>
                <w:szCs w:val="18"/>
              </w:rPr>
            </w:pPr>
            <w:r>
              <w:rPr>
                <w:rFonts w:ascii="Arial" w:hAnsi="Arial" w:cs="Arial"/>
                <w:sz w:val="18"/>
                <w:szCs w:val="18"/>
              </w:rPr>
              <w:t xml:space="preserve">Pflicht streichen oder alternativ Bagatellschwellen </w:t>
            </w:r>
            <w:r w:rsidR="00C6734C">
              <w:rPr>
                <w:rFonts w:ascii="Arial" w:hAnsi="Arial" w:cs="Arial"/>
                <w:sz w:val="18"/>
                <w:szCs w:val="18"/>
              </w:rPr>
              <w:t>für die Anzahl der verkauften Geräte innerhalb der EU einführen oder zumindest die Authentifizierung und Eintragung erleichtern.</w:t>
            </w:r>
          </w:p>
        </w:tc>
        <w:tc>
          <w:tcPr>
            <w:tcW w:w="2978" w:type="dxa"/>
          </w:tcPr>
          <w:p w14:paraId="21972D50" w14:textId="0053E35F" w:rsidR="00892FAC" w:rsidRPr="0051385D" w:rsidRDefault="00C6734C" w:rsidP="009B12CC">
            <w:pPr>
              <w:rPr>
                <w:rFonts w:ascii="Arial" w:hAnsi="Arial" w:cs="Arial"/>
                <w:sz w:val="18"/>
                <w:szCs w:val="18"/>
              </w:rPr>
            </w:pPr>
            <w:r w:rsidRPr="00C6734C">
              <w:rPr>
                <w:rFonts w:ascii="Arial" w:hAnsi="Arial" w:cs="Arial"/>
                <w:sz w:val="18"/>
                <w:szCs w:val="18"/>
              </w:rPr>
              <w:t>B</w:t>
            </w:r>
            <w:r w:rsidRPr="00C6734C">
              <w:rPr>
                <w:rFonts w:ascii="Arial" w:hAnsi="Arial" w:cs="Arial" w:hint="cs"/>
                <w:sz w:val="18"/>
                <w:szCs w:val="18"/>
              </w:rPr>
              <w:t>ü</w:t>
            </w:r>
            <w:r w:rsidRPr="00C6734C">
              <w:rPr>
                <w:rFonts w:ascii="Arial" w:hAnsi="Arial" w:cs="Arial"/>
                <w:sz w:val="18"/>
                <w:szCs w:val="18"/>
              </w:rPr>
              <w:t>rokratiekosten werden reduziert.</w:t>
            </w:r>
          </w:p>
        </w:tc>
      </w:tr>
      <w:tr w:rsidR="00892FAC" w:rsidRPr="0051385D" w14:paraId="4189AB2C" w14:textId="77777777" w:rsidTr="00892FAC">
        <w:trPr>
          <w:trHeight w:val="2835"/>
        </w:trPr>
        <w:tc>
          <w:tcPr>
            <w:tcW w:w="988" w:type="dxa"/>
          </w:tcPr>
          <w:p w14:paraId="318E69C0" w14:textId="77777777" w:rsidR="00892FAC" w:rsidRPr="0051385D" w:rsidRDefault="00892FAC" w:rsidP="009B12CC">
            <w:pPr>
              <w:rPr>
                <w:rFonts w:ascii="Arial" w:hAnsi="Arial" w:cs="Arial"/>
                <w:sz w:val="18"/>
                <w:szCs w:val="18"/>
              </w:rPr>
            </w:pPr>
            <w:r>
              <w:rPr>
                <w:rFonts w:ascii="Arial" w:hAnsi="Arial" w:cs="Arial"/>
                <w:sz w:val="18"/>
                <w:szCs w:val="18"/>
              </w:rPr>
              <w:t>DG ENV</w:t>
            </w:r>
          </w:p>
        </w:tc>
        <w:tc>
          <w:tcPr>
            <w:tcW w:w="1842" w:type="dxa"/>
          </w:tcPr>
          <w:p w14:paraId="3F7BC9D6" w14:textId="4522D79E" w:rsidR="00892FAC" w:rsidRPr="003965FD" w:rsidRDefault="00892FAC" w:rsidP="009B12CC">
            <w:pPr>
              <w:rPr>
                <w:rFonts w:ascii="Arial" w:hAnsi="Arial" w:cs="Arial"/>
                <w:sz w:val="18"/>
                <w:szCs w:val="18"/>
              </w:rPr>
            </w:pPr>
            <w:r w:rsidRPr="003965FD">
              <w:rPr>
                <w:rFonts w:ascii="Arial" w:hAnsi="Arial" w:cs="Arial"/>
                <w:sz w:val="18"/>
                <w:szCs w:val="18"/>
              </w:rPr>
              <w:t>Umweltmanage</w:t>
            </w:r>
            <w:r w:rsidR="00A3180F">
              <w:rPr>
                <w:rFonts w:ascii="Arial" w:hAnsi="Arial" w:cs="Arial"/>
                <w:sz w:val="18"/>
                <w:szCs w:val="18"/>
              </w:rPr>
              <w:t>-</w:t>
            </w:r>
            <w:r w:rsidRPr="003965FD">
              <w:rPr>
                <w:rFonts w:ascii="Arial" w:hAnsi="Arial" w:cs="Arial"/>
                <w:sz w:val="18"/>
                <w:szCs w:val="18"/>
              </w:rPr>
              <w:t>ment nach IED</w:t>
            </w:r>
          </w:p>
        </w:tc>
        <w:tc>
          <w:tcPr>
            <w:tcW w:w="1418" w:type="dxa"/>
          </w:tcPr>
          <w:p w14:paraId="767E9112" w14:textId="01DCC5BB" w:rsidR="00A124FB" w:rsidRPr="00A124FB" w:rsidRDefault="008D2BF3" w:rsidP="008D2BF3">
            <w:pPr>
              <w:rPr>
                <w:rFonts w:ascii="Arial" w:hAnsi="Arial" w:cs="Arial"/>
                <w:sz w:val="18"/>
                <w:szCs w:val="18"/>
              </w:rPr>
            </w:pPr>
            <w:r w:rsidRPr="008D2BF3">
              <w:rPr>
                <w:rFonts w:ascii="Arial" w:hAnsi="Arial" w:cs="Arial"/>
                <w:sz w:val="18"/>
                <w:szCs w:val="18"/>
              </w:rPr>
              <w:t>RICHTLINIE (EU) 2024/1785</w:t>
            </w:r>
            <w:r w:rsidR="00A124FB">
              <w:rPr>
                <w:rFonts w:ascii="Arial" w:hAnsi="Arial" w:cs="Arial"/>
                <w:sz w:val="18"/>
                <w:szCs w:val="18"/>
              </w:rPr>
              <w:br/>
            </w:r>
            <w:r w:rsidR="00A124FB" w:rsidRPr="00A124FB">
              <w:rPr>
                <w:rFonts w:ascii="Arial" w:hAnsi="Arial" w:cs="Arial"/>
                <w:sz w:val="18"/>
                <w:szCs w:val="18"/>
              </w:rPr>
              <w:t>Artikel 14a</w:t>
            </w:r>
          </w:p>
          <w:p w14:paraId="0AFAEBDD" w14:textId="70905147" w:rsidR="00892FAC" w:rsidRPr="0051385D" w:rsidRDefault="00A124FB" w:rsidP="00A124FB">
            <w:pPr>
              <w:rPr>
                <w:rFonts w:ascii="Arial" w:hAnsi="Arial" w:cs="Arial"/>
                <w:sz w:val="18"/>
                <w:szCs w:val="18"/>
              </w:rPr>
            </w:pPr>
            <w:r w:rsidRPr="00A124FB">
              <w:rPr>
                <w:rFonts w:ascii="Arial" w:hAnsi="Arial" w:cs="Arial"/>
                <w:sz w:val="18"/>
                <w:szCs w:val="18"/>
              </w:rPr>
              <w:t>Umweltmanagementsystem</w:t>
            </w:r>
          </w:p>
        </w:tc>
        <w:tc>
          <w:tcPr>
            <w:tcW w:w="4536" w:type="dxa"/>
          </w:tcPr>
          <w:p w14:paraId="57373DF2" w14:textId="3CEF01FA" w:rsidR="00892FAC" w:rsidRPr="0051385D" w:rsidRDefault="000C76E4" w:rsidP="009B12CC">
            <w:pPr>
              <w:rPr>
                <w:rFonts w:ascii="Arial" w:hAnsi="Arial" w:cs="Arial"/>
                <w:sz w:val="18"/>
                <w:szCs w:val="18"/>
              </w:rPr>
            </w:pPr>
            <w:r>
              <w:rPr>
                <w:rFonts w:ascii="Arial" w:hAnsi="Arial" w:cs="Arial"/>
                <w:sz w:val="18"/>
                <w:szCs w:val="18"/>
              </w:rPr>
              <w:t xml:space="preserve">Die Industrie-Emissionsrichtlinie verlangt von bestimmten großen Industrieanlagen die Einführung eines Umweltmanagementsystems. </w:t>
            </w:r>
            <w:r w:rsidR="00F05AAA">
              <w:rPr>
                <w:rFonts w:ascii="Arial" w:hAnsi="Arial" w:cs="Arial"/>
                <w:sz w:val="18"/>
                <w:szCs w:val="18"/>
              </w:rPr>
              <w:t xml:space="preserve">Statt allerdings auf die bestehenden Umweltmanagementsysteme ISO 14001 oder EMAS zu verweisen, gibt die Richtlinie erweiterte Anforderungen an das System </w:t>
            </w:r>
            <w:r w:rsidR="007803A8">
              <w:rPr>
                <w:rFonts w:ascii="Arial" w:hAnsi="Arial" w:cs="Arial"/>
                <w:sz w:val="18"/>
                <w:szCs w:val="18"/>
              </w:rPr>
              <w:t>– wie Vergleichswerte, BVT-Vorgaben oder</w:t>
            </w:r>
            <w:r w:rsidR="0024250A">
              <w:rPr>
                <w:rFonts w:ascii="Arial" w:hAnsi="Arial" w:cs="Arial"/>
                <w:sz w:val="18"/>
                <w:szCs w:val="18"/>
              </w:rPr>
              <w:t xml:space="preserve"> einen</w:t>
            </w:r>
            <w:r w:rsidR="007803A8">
              <w:rPr>
                <w:rFonts w:ascii="Arial" w:hAnsi="Arial" w:cs="Arial"/>
                <w:sz w:val="18"/>
                <w:szCs w:val="18"/>
              </w:rPr>
              <w:t xml:space="preserve"> T</w:t>
            </w:r>
            <w:r w:rsidR="0024250A">
              <w:rPr>
                <w:rFonts w:ascii="Arial" w:hAnsi="Arial" w:cs="Arial"/>
                <w:sz w:val="18"/>
                <w:szCs w:val="18"/>
              </w:rPr>
              <w:t>r</w:t>
            </w:r>
            <w:r w:rsidR="007803A8">
              <w:rPr>
                <w:rFonts w:ascii="Arial" w:hAnsi="Arial" w:cs="Arial"/>
                <w:sz w:val="18"/>
                <w:szCs w:val="18"/>
              </w:rPr>
              <w:t xml:space="preserve">ansformationsplan - </w:t>
            </w:r>
            <w:r w:rsidR="00F05AAA">
              <w:rPr>
                <w:rFonts w:ascii="Arial" w:hAnsi="Arial" w:cs="Arial"/>
                <w:sz w:val="18"/>
                <w:szCs w:val="18"/>
              </w:rPr>
              <w:t xml:space="preserve">vor. </w:t>
            </w:r>
            <w:r w:rsidR="00545DCD">
              <w:rPr>
                <w:rFonts w:ascii="Arial" w:hAnsi="Arial" w:cs="Arial"/>
                <w:sz w:val="18"/>
                <w:szCs w:val="18"/>
              </w:rPr>
              <w:t xml:space="preserve">Dadurch entstehen erweiterte </w:t>
            </w:r>
            <w:r w:rsidR="00AF4B26">
              <w:rPr>
                <w:rFonts w:ascii="Arial" w:hAnsi="Arial" w:cs="Arial"/>
                <w:sz w:val="18"/>
                <w:szCs w:val="18"/>
              </w:rPr>
              <w:t>Aufwände</w:t>
            </w:r>
            <w:r w:rsidR="00545DCD">
              <w:rPr>
                <w:rFonts w:ascii="Arial" w:hAnsi="Arial" w:cs="Arial"/>
                <w:sz w:val="18"/>
                <w:szCs w:val="18"/>
              </w:rPr>
              <w:t xml:space="preserve"> </w:t>
            </w:r>
            <w:r w:rsidR="00AF4B26">
              <w:rPr>
                <w:rFonts w:ascii="Arial" w:hAnsi="Arial" w:cs="Arial"/>
                <w:sz w:val="18"/>
                <w:szCs w:val="18"/>
              </w:rPr>
              <w:t xml:space="preserve">für </w:t>
            </w:r>
            <w:r w:rsidR="0024250A">
              <w:rPr>
                <w:rFonts w:ascii="Arial" w:hAnsi="Arial" w:cs="Arial"/>
                <w:sz w:val="18"/>
                <w:szCs w:val="18"/>
              </w:rPr>
              <w:t xml:space="preserve">die betroffenen Unternehmen, der Prüfungsaufwand für </w:t>
            </w:r>
            <w:r w:rsidR="00AF4B26">
              <w:rPr>
                <w:rFonts w:ascii="Arial" w:hAnsi="Arial" w:cs="Arial"/>
                <w:sz w:val="18"/>
                <w:szCs w:val="18"/>
              </w:rPr>
              <w:t>Gutachter und Behörden steigt</w:t>
            </w:r>
            <w:r w:rsidR="0024250A">
              <w:rPr>
                <w:rFonts w:ascii="Arial" w:hAnsi="Arial" w:cs="Arial"/>
                <w:sz w:val="18"/>
                <w:szCs w:val="18"/>
              </w:rPr>
              <w:t xml:space="preserve"> und Genehmigungsverfahren verzögern sich</w:t>
            </w:r>
            <w:r w:rsidR="00AF4B26">
              <w:rPr>
                <w:rFonts w:ascii="Arial" w:hAnsi="Arial" w:cs="Arial"/>
                <w:sz w:val="18"/>
                <w:szCs w:val="18"/>
              </w:rPr>
              <w:t xml:space="preserve">. </w:t>
            </w:r>
          </w:p>
        </w:tc>
        <w:tc>
          <w:tcPr>
            <w:tcW w:w="2835" w:type="dxa"/>
          </w:tcPr>
          <w:p w14:paraId="7D5063BF" w14:textId="2036F9FE" w:rsidR="00892FAC" w:rsidRPr="0051385D" w:rsidRDefault="00AF4B26" w:rsidP="009B12CC">
            <w:pPr>
              <w:rPr>
                <w:rFonts w:ascii="Arial" w:hAnsi="Arial" w:cs="Arial"/>
                <w:sz w:val="18"/>
                <w:szCs w:val="18"/>
              </w:rPr>
            </w:pPr>
            <w:r>
              <w:rPr>
                <w:rFonts w:ascii="Arial" w:hAnsi="Arial" w:cs="Arial"/>
                <w:sz w:val="18"/>
                <w:szCs w:val="18"/>
              </w:rPr>
              <w:t xml:space="preserve">Die Anforderung sollte gestrichen werden oder zumindest die </w:t>
            </w:r>
            <w:r w:rsidR="008C184F">
              <w:rPr>
                <w:rFonts w:ascii="Arial" w:hAnsi="Arial" w:cs="Arial"/>
                <w:sz w:val="18"/>
                <w:szCs w:val="18"/>
              </w:rPr>
              <w:t>Einführung eines gängigen Umweltmanagementsystems ausreichen.</w:t>
            </w:r>
          </w:p>
        </w:tc>
        <w:tc>
          <w:tcPr>
            <w:tcW w:w="2978" w:type="dxa"/>
          </w:tcPr>
          <w:p w14:paraId="100F99BD" w14:textId="03DE4042" w:rsidR="00892FAC" w:rsidRPr="0051385D" w:rsidRDefault="008C184F" w:rsidP="009B12CC">
            <w:pPr>
              <w:rPr>
                <w:rFonts w:ascii="Arial" w:hAnsi="Arial" w:cs="Arial"/>
                <w:sz w:val="18"/>
                <w:szCs w:val="18"/>
              </w:rPr>
            </w:pPr>
            <w:r w:rsidRPr="008C184F">
              <w:rPr>
                <w:rFonts w:ascii="Arial" w:hAnsi="Arial" w:cs="Arial"/>
                <w:sz w:val="18"/>
                <w:szCs w:val="18"/>
              </w:rPr>
              <w:t>B</w:t>
            </w:r>
            <w:r w:rsidRPr="008C184F">
              <w:rPr>
                <w:rFonts w:ascii="Arial" w:hAnsi="Arial" w:cs="Arial" w:hint="cs"/>
                <w:sz w:val="18"/>
                <w:szCs w:val="18"/>
              </w:rPr>
              <w:t>ü</w:t>
            </w:r>
            <w:r w:rsidRPr="008C184F">
              <w:rPr>
                <w:rFonts w:ascii="Arial" w:hAnsi="Arial" w:cs="Arial"/>
                <w:sz w:val="18"/>
                <w:szCs w:val="18"/>
              </w:rPr>
              <w:t>rokratiekosten werden vermieden.</w:t>
            </w:r>
          </w:p>
        </w:tc>
      </w:tr>
      <w:tr w:rsidR="00A3180F" w:rsidRPr="0051385D" w14:paraId="2643D4E2" w14:textId="77777777" w:rsidTr="00892FAC">
        <w:trPr>
          <w:trHeight w:val="2835"/>
        </w:trPr>
        <w:tc>
          <w:tcPr>
            <w:tcW w:w="988" w:type="dxa"/>
          </w:tcPr>
          <w:p w14:paraId="40CCC711" w14:textId="4A5BF60A" w:rsidR="00A3180F" w:rsidRDefault="00A3180F" w:rsidP="00A3180F">
            <w:pPr>
              <w:rPr>
                <w:rFonts w:ascii="Arial" w:hAnsi="Arial" w:cs="Arial"/>
                <w:sz w:val="18"/>
                <w:szCs w:val="18"/>
              </w:rPr>
            </w:pPr>
            <w:r>
              <w:rPr>
                <w:rFonts w:ascii="Arial" w:hAnsi="Arial" w:cs="Arial"/>
                <w:sz w:val="18"/>
                <w:szCs w:val="18"/>
              </w:rPr>
              <w:t>DG ENV</w:t>
            </w:r>
          </w:p>
        </w:tc>
        <w:tc>
          <w:tcPr>
            <w:tcW w:w="1842" w:type="dxa"/>
          </w:tcPr>
          <w:p w14:paraId="0AFD9F43" w14:textId="44FAC1F6" w:rsidR="00A3180F" w:rsidRPr="003965FD" w:rsidRDefault="00A3180F" w:rsidP="00A3180F">
            <w:pPr>
              <w:rPr>
                <w:rFonts w:ascii="Arial" w:hAnsi="Arial" w:cs="Arial"/>
                <w:sz w:val="18"/>
                <w:szCs w:val="18"/>
              </w:rPr>
            </w:pPr>
            <w:r w:rsidRPr="003965FD">
              <w:rPr>
                <w:rFonts w:ascii="Arial" w:hAnsi="Arial" w:cs="Arial"/>
                <w:sz w:val="18"/>
                <w:szCs w:val="18"/>
              </w:rPr>
              <w:t>Konformität von Verpackungen</w:t>
            </w:r>
          </w:p>
        </w:tc>
        <w:tc>
          <w:tcPr>
            <w:tcW w:w="1418" w:type="dxa"/>
          </w:tcPr>
          <w:p w14:paraId="3ED376C7" w14:textId="77777777" w:rsidR="00A3180F" w:rsidRPr="0051385D" w:rsidRDefault="00A3180F" w:rsidP="00A3180F">
            <w:pPr>
              <w:rPr>
                <w:rFonts w:ascii="Arial" w:hAnsi="Arial" w:cs="Arial"/>
                <w:sz w:val="18"/>
                <w:szCs w:val="18"/>
              </w:rPr>
            </w:pPr>
          </w:p>
        </w:tc>
        <w:tc>
          <w:tcPr>
            <w:tcW w:w="4536" w:type="dxa"/>
          </w:tcPr>
          <w:p w14:paraId="518074ED" w14:textId="77777777" w:rsidR="00A3180F" w:rsidRPr="0051385D" w:rsidRDefault="00A3180F" w:rsidP="00A3180F">
            <w:pPr>
              <w:rPr>
                <w:rFonts w:ascii="Arial" w:hAnsi="Arial" w:cs="Arial"/>
                <w:sz w:val="18"/>
                <w:szCs w:val="18"/>
              </w:rPr>
            </w:pPr>
          </w:p>
        </w:tc>
        <w:tc>
          <w:tcPr>
            <w:tcW w:w="2835" w:type="dxa"/>
          </w:tcPr>
          <w:p w14:paraId="4812909F" w14:textId="77777777" w:rsidR="00A3180F" w:rsidRPr="0051385D" w:rsidRDefault="00A3180F" w:rsidP="00A3180F">
            <w:pPr>
              <w:rPr>
                <w:rFonts w:ascii="Arial" w:hAnsi="Arial" w:cs="Arial"/>
                <w:sz w:val="18"/>
                <w:szCs w:val="18"/>
              </w:rPr>
            </w:pPr>
          </w:p>
        </w:tc>
        <w:tc>
          <w:tcPr>
            <w:tcW w:w="2978" w:type="dxa"/>
          </w:tcPr>
          <w:p w14:paraId="0B430C84" w14:textId="77777777" w:rsidR="00A3180F" w:rsidRPr="0051385D" w:rsidRDefault="00A3180F" w:rsidP="00A3180F">
            <w:pPr>
              <w:rPr>
                <w:rFonts w:ascii="Arial" w:hAnsi="Arial" w:cs="Arial"/>
                <w:sz w:val="18"/>
                <w:szCs w:val="18"/>
              </w:rPr>
            </w:pPr>
          </w:p>
        </w:tc>
      </w:tr>
    </w:tbl>
    <w:p w14:paraId="144FF64F" w14:textId="77777777" w:rsidR="0051385D" w:rsidRPr="0051385D" w:rsidRDefault="0051385D">
      <w:pPr>
        <w:rPr>
          <w:sz w:val="22"/>
          <w:szCs w:val="22"/>
        </w:rPr>
      </w:pPr>
    </w:p>
    <w:sectPr w:rsidR="0051385D" w:rsidRPr="0051385D" w:rsidSect="0051385D">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F28D8" w14:textId="77777777" w:rsidR="00CC3CFA" w:rsidRDefault="00CC3CFA" w:rsidP="00CC3CFA">
      <w:pPr>
        <w:spacing w:after="0" w:line="240" w:lineRule="auto"/>
      </w:pPr>
      <w:r>
        <w:separator/>
      </w:r>
    </w:p>
  </w:endnote>
  <w:endnote w:type="continuationSeparator" w:id="0">
    <w:p w14:paraId="31B05DB3" w14:textId="77777777" w:rsidR="00CC3CFA" w:rsidRDefault="00CC3CFA" w:rsidP="00CC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C055E" w14:textId="77777777" w:rsidR="00CC3CFA" w:rsidRDefault="00CC3CFA" w:rsidP="00CC3CFA">
      <w:pPr>
        <w:spacing w:after="0" w:line="240" w:lineRule="auto"/>
      </w:pPr>
      <w:r>
        <w:separator/>
      </w:r>
    </w:p>
  </w:footnote>
  <w:footnote w:type="continuationSeparator" w:id="0">
    <w:p w14:paraId="55EB74A2" w14:textId="77777777" w:rsidR="00CC3CFA" w:rsidRDefault="00CC3CFA" w:rsidP="00CC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55057"/>
    <w:multiLevelType w:val="hybridMultilevel"/>
    <w:tmpl w:val="63A884B0"/>
    <w:lvl w:ilvl="0" w:tplc="18A60A16">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591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5D"/>
    <w:rsid w:val="0001632D"/>
    <w:rsid w:val="000329AE"/>
    <w:rsid w:val="00034E60"/>
    <w:rsid w:val="00040CEE"/>
    <w:rsid w:val="00045B8E"/>
    <w:rsid w:val="00056ABE"/>
    <w:rsid w:val="0006695E"/>
    <w:rsid w:val="000C69EE"/>
    <w:rsid w:val="000C76E4"/>
    <w:rsid w:val="000D6EDA"/>
    <w:rsid w:val="000E5E8B"/>
    <w:rsid w:val="001254CF"/>
    <w:rsid w:val="00152E3A"/>
    <w:rsid w:val="001D3D81"/>
    <w:rsid w:val="0024250A"/>
    <w:rsid w:val="0024589B"/>
    <w:rsid w:val="002A2098"/>
    <w:rsid w:val="002F6FB6"/>
    <w:rsid w:val="00307B6B"/>
    <w:rsid w:val="00327AE0"/>
    <w:rsid w:val="0033530C"/>
    <w:rsid w:val="00343528"/>
    <w:rsid w:val="0035514B"/>
    <w:rsid w:val="00361F0F"/>
    <w:rsid w:val="0036792A"/>
    <w:rsid w:val="00380E39"/>
    <w:rsid w:val="003965FD"/>
    <w:rsid w:val="003D702A"/>
    <w:rsid w:val="003F34EB"/>
    <w:rsid w:val="00441D92"/>
    <w:rsid w:val="00464C34"/>
    <w:rsid w:val="00476DA3"/>
    <w:rsid w:val="00477F50"/>
    <w:rsid w:val="0048034B"/>
    <w:rsid w:val="005101FB"/>
    <w:rsid w:val="0051385D"/>
    <w:rsid w:val="00520427"/>
    <w:rsid w:val="00545DCD"/>
    <w:rsid w:val="005559B5"/>
    <w:rsid w:val="005A156B"/>
    <w:rsid w:val="00614440"/>
    <w:rsid w:val="00617382"/>
    <w:rsid w:val="0065643F"/>
    <w:rsid w:val="006766CA"/>
    <w:rsid w:val="00687AEB"/>
    <w:rsid w:val="006903CE"/>
    <w:rsid w:val="006C194F"/>
    <w:rsid w:val="006C4C18"/>
    <w:rsid w:val="006D7210"/>
    <w:rsid w:val="007502EC"/>
    <w:rsid w:val="007601F9"/>
    <w:rsid w:val="0077087F"/>
    <w:rsid w:val="007803A8"/>
    <w:rsid w:val="00792133"/>
    <w:rsid w:val="0079721C"/>
    <w:rsid w:val="007E3825"/>
    <w:rsid w:val="007E4194"/>
    <w:rsid w:val="00831102"/>
    <w:rsid w:val="00843C5C"/>
    <w:rsid w:val="008504A2"/>
    <w:rsid w:val="008526B7"/>
    <w:rsid w:val="00856923"/>
    <w:rsid w:val="00892FAC"/>
    <w:rsid w:val="008B6CAC"/>
    <w:rsid w:val="008C184F"/>
    <w:rsid w:val="008D2BF3"/>
    <w:rsid w:val="008D6012"/>
    <w:rsid w:val="00912575"/>
    <w:rsid w:val="0092628F"/>
    <w:rsid w:val="009803B0"/>
    <w:rsid w:val="00981D79"/>
    <w:rsid w:val="00981EEE"/>
    <w:rsid w:val="009F50CE"/>
    <w:rsid w:val="00A124FB"/>
    <w:rsid w:val="00A3180F"/>
    <w:rsid w:val="00A432E8"/>
    <w:rsid w:val="00A82AA2"/>
    <w:rsid w:val="00A857FB"/>
    <w:rsid w:val="00AA1460"/>
    <w:rsid w:val="00AB72EB"/>
    <w:rsid w:val="00AD7F06"/>
    <w:rsid w:val="00AF4B26"/>
    <w:rsid w:val="00AF7D3A"/>
    <w:rsid w:val="00B03A17"/>
    <w:rsid w:val="00B171BA"/>
    <w:rsid w:val="00B34D74"/>
    <w:rsid w:val="00B87BD4"/>
    <w:rsid w:val="00B950C4"/>
    <w:rsid w:val="00B96D1E"/>
    <w:rsid w:val="00BB77D6"/>
    <w:rsid w:val="00BE3B8F"/>
    <w:rsid w:val="00C6734C"/>
    <w:rsid w:val="00C72A94"/>
    <w:rsid w:val="00C811A4"/>
    <w:rsid w:val="00CA04BF"/>
    <w:rsid w:val="00CB55A6"/>
    <w:rsid w:val="00CC292B"/>
    <w:rsid w:val="00CC3CFA"/>
    <w:rsid w:val="00CC58A3"/>
    <w:rsid w:val="00CD66B5"/>
    <w:rsid w:val="00D2288C"/>
    <w:rsid w:val="00D27D61"/>
    <w:rsid w:val="00D4688E"/>
    <w:rsid w:val="00D66D85"/>
    <w:rsid w:val="00DC54A3"/>
    <w:rsid w:val="00E070D9"/>
    <w:rsid w:val="00E07F1E"/>
    <w:rsid w:val="00E158E8"/>
    <w:rsid w:val="00E274D1"/>
    <w:rsid w:val="00E36DD4"/>
    <w:rsid w:val="00E44A4E"/>
    <w:rsid w:val="00E63A3C"/>
    <w:rsid w:val="00E70D8D"/>
    <w:rsid w:val="00EA5B51"/>
    <w:rsid w:val="00EB3720"/>
    <w:rsid w:val="00EF40E3"/>
    <w:rsid w:val="00F0517F"/>
    <w:rsid w:val="00F0574B"/>
    <w:rsid w:val="00F05AAA"/>
    <w:rsid w:val="00F13BDE"/>
    <w:rsid w:val="00F14E4B"/>
    <w:rsid w:val="00F2346E"/>
    <w:rsid w:val="00F2411C"/>
    <w:rsid w:val="00F42C27"/>
    <w:rsid w:val="00F57EA6"/>
    <w:rsid w:val="00FD40AB"/>
    <w:rsid w:val="00FE616B"/>
    <w:rsid w:val="0160CD9C"/>
    <w:rsid w:val="0236BEEA"/>
    <w:rsid w:val="02DE98FA"/>
    <w:rsid w:val="07B9D7B3"/>
    <w:rsid w:val="07F3736E"/>
    <w:rsid w:val="0A55D06E"/>
    <w:rsid w:val="0BFFC375"/>
    <w:rsid w:val="0D3E7DC3"/>
    <w:rsid w:val="11318C09"/>
    <w:rsid w:val="133D9D76"/>
    <w:rsid w:val="16D59E05"/>
    <w:rsid w:val="18990196"/>
    <w:rsid w:val="1C6CD532"/>
    <w:rsid w:val="232FD52D"/>
    <w:rsid w:val="23940C48"/>
    <w:rsid w:val="2669446A"/>
    <w:rsid w:val="2A7AC751"/>
    <w:rsid w:val="2C36AE5F"/>
    <w:rsid w:val="2C605B9B"/>
    <w:rsid w:val="2E71720C"/>
    <w:rsid w:val="31AA423B"/>
    <w:rsid w:val="324BA5C2"/>
    <w:rsid w:val="3295BF3A"/>
    <w:rsid w:val="3FBED1CD"/>
    <w:rsid w:val="42DD5D9A"/>
    <w:rsid w:val="44332003"/>
    <w:rsid w:val="484EC995"/>
    <w:rsid w:val="486D9552"/>
    <w:rsid w:val="4CF50AFB"/>
    <w:rsid w:val="4E013088"/>
    <w:rsid w:val="5184DBDC"/>
    <w:rsid w:val="557BD7B2"/>
    <w:rsid w:val="59F876C7"/>
    <w:rsid w:val="5B2727A1"/>
    <w:rsid w:val="5B87F89C"/>
    <w:rsid w:val="6045B058"/>
    <w:rsid w:val="6447643B"/>
    <w:rsid w:val="6684F788"/>
    <w:rsid w:val="67F8A225"/>
    <w:rsid w:val="6FCB34BF"/>
    <w:rsid w:val="705F995D"/>
    <w:rsid w:val="7085D0F1"/>
    <w:rsid w:val="75865AFC"/>
    <w:rsid w:val="7604FBC8"/>
    <w:rsid w:val="7876D512"/>
    <w:rsid w:val="7A8FA11F"/>
    <w:rsid w:val="7B7512B9"/>
    <w:rsid w:val="7F9C69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9DF3"/>
  <w15:chartTrackingRefBased/>
  <w15:docId w15:val="{2B36E006-1190-4670-BBE1-A0FCEC07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13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13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1385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1385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1385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138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138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138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138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385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1385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1385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1385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1385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138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138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138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1385D"/>
    <w:rPr>
      <w:rFonts w:eastAsiaTheme="majorEastAsia" w:cstheme="majorBidi"/>
      <w:color w:val="272727" w:themeColor="text1" w:themeTint="D8"/>
    </w:rPr>
  </w:style>
  <w:style w:type="paragraph" w:styleId="Titel">
    <w:name w:val="Title"/>
    <w:basedOn w:val="Standard"/>
    <w:next w:val="Standard"/>
    <w:link w:val="TitelZchn"/>
    <w:uiPriority w:val="10"/>
    <w:qFormat/>
    <w:rsid w:val="00513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38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138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138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138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1385D"/>
    <w:rPr>
      <w:i/>
      <w:iCs/>
      <w:color w:val="404040" w:themeColor="text1" w:themeTint="BF"/>
    </w:rPr>
  </w:style>
  <w:style w:type="paragraph" w:styleId="Listenabsatz">
    <w:name w:val="List Paragraph"/>
    <w:basedOn w:val="Standard"/>
    <w:uiPriority w:val="34"/>
    <w:qFormat/>
    <w:rsid w:val="0051385D"/>
    <w:pPr>
      <w:ind w:left="720"/>
      <w:contextualSpacing/>
    </w:pPr>
  </w:style>
  <w:style w:type="character" w:styleId="IntensiveHervorhebung">
    <w:name w:val="Intense Emphasis"/>
    <w:basedOn w:val="Absatz-Standardschriftart"/>
    <w:uiPriority w:val="21"/>
    <w:qFormat/>
    <w:rsid w:val="0051385D"/>
    <w:rPr>
      <w:i/>
      <w:iCs/>
      <w:color w:val="0F4761" w:themeColor="accent1" w:themeShade="BF"/>
    </w:rPr>
  </w:style>
  <w:style w:type="paragraph" w:styleId="IntensivesZitat">
    <w:name w:val="Intense Quote"/>
    <w:basedOn w:val="Standard"/>
    <w:next w:val="Standard"/>
    <w:link w:val="IntensivesZitatZchn"/>
    <w:uiPriority w:val="30"/>
    <w:qFormat/>
    <w:rsid w:val="00513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1385D"/>
    <w:rPr>
      <w:i/>
      <w:iCs/>
      <w:color w:val="0F4761" w:themeColor="accent1" w:themeShade="BF"/>
    </w:rPr>
  </w:style>
  <w:style w:type="character" w:styleId="IntensiverVerweis">
    <w:name w:val="Intense Reference"/>
    <w:basedOn w:val="Absatz-Standardschriftart"/>
    <w:uiPriority w:val="32"/>
    <w:qFormat/>
    <w:rsid w:val="0051385D"/>
    <w:rPr>
      <w:b/>
      <w:bCs/>
      <w:smallCaps/>
      <w:color w:val="0F4761" w:themeColor="accent1" w:themeShade="BF"/>
      <w:spacing w:val="5"/>
    </w:rPr>
  </w:style>
  <w:style w:type="table" w:styleId="Tabellenraster">
    <w:name w:val="Table Grid"/>
    <w:basedOn w:val="NormaleTabelle"/>
    <w:uiPriority w:val="39"/>
    <w:rsid w:val="0051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C3C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3CFA"/>
  </w:style>
  <w:style w:type="paragraph" w:styleId="Fuzeile">
    <w:name w:val="footer"/>
    <w:basedOn w:val="Standard"/>
    <w:link w:val="FuzeileZchn"/>
    <w:uiPriority w:val="99"/>
    <w:unhideWhenUsed/>
    <w:rsid w:val="00CC3C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68CEA0356654690A6FAFBF743B82D" ma:contentTypeVersion="19" ma:contentTypeDescription="Create a new document." ma:contentTypeScope="" ma:versionID="d18216d3368caf9e33ddfb42d5744468">
  <xsd:schema xmlns:xsd="http://www.w3.org/2001/XMLSchema" xmlns:xs="http://www.w3.org/2001/XMLSchema" xmlns:p="http://schemas.microsoft.com/office/2006/metadata/properties" xmlns:ns2="0b95be40-15e3-45b2-992d-35ac3cde79ab" xmlns:ns3="f4381c1d-ea85-42ce-9f9c-5e7853ef013a" targetNamespace="http://schemas.microsoft.com/office/2006/metadata/properties" ma:root="true" ma:fieldsID="58c628bbc0f7c08b9075d7a9ec4de7c5" ns2:_="" ns3:_="">
    <xsd:import namespace="0b95be40-15e3-45b2-992d-35ac3cde79ab"/>
    <xsd:import namespace="f4381c1d-ea85-42ce-9f9c-5e7853ef013a"/>
    <xsd:element name="properties">
      <xsd:complexType>
        <xsd:sequence>
          <xsd:element name="documentManagement">
            <xsd:complexType>
              <xsd:all>
                <xsd:element ref="ns2:MediaServiceMetadata" minOccurs="0"/>
                <xsd:element ref="ns2:MediaServiceFastMetadata" minOccurs="0"/>
                <xsd:element ref="ns2:deEditor"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5be40-15e3-45b2-992d-35ac3cde7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Editor" ma:index="10" nillable="true" ma:taxonomy="true" ma:internalName="deEditor" ma:taxonomyFieldName="MediaServiceImageTags" ma:displayName="Image Tags" ma:readOnly="false" ma:fieldId="{5cf76f15-5ced-4ddc-b409-7134ff3c332f}" ma:taxonomyMulti="true" ma:sspId="cccd6185-6eb9-4b95-86cf-a6a5a3cb0ae3" ma:termSetId="09814cd3-568e-fe90-9814-8d621ff8fb84" ma:anchorId="fba54fb3-c3e1-fe81-a776-ca4b69148c4d" ma:open="true" ma:isKeyword="false">
      <xsd:complexType>
        <xsd:sequence>
          <xsd:element ref="pc:Terms" minOccurs="0" maxOccurs="1"/>
        </xsd:sequence>
      </xsd:complex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81c1d-ea85-42ce-9f9c-5e7853ef01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f2425e-de5b-453f-88fe-61c676615831}" ma:internalName="TaxCatchAll" ma:showField="CatchAllData" ma:web="f4381c1d-ea85-42ce-9f9c-5e7853ef0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381c1d-ea85-42ce-9f9c-5e7853ef013a" xsi:nil="true"/>
    <deEditor xmlns="0b95be40-15e3-45b2-992d-35ac3cde79ab">
      <Terms xmlns="http://schemas.microsoft.com/office/infopath/2007/PartnerControls"/>
    </deEdi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429EE-457D-47EB-A649-547BE08F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5be40-15e3-45b2-992d-35ac3cde79ab"/>
    <ds:schemaRef ds:uri="f4381c1d-ea85-42ce-9f9c-5e7853ef0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220D8-E507-4EDF-9676-948C1C522318}">
  <ds:schemaRefs>
    <ds:schemaRef ds:uri="http://schemas.microsoft.com/office/2006/metadata/properties"/>
    <ds:schemaRef ds:uri="http://schemas.microsoft.com/office/infopath/2007/PartnerControls"/>
    <ds:schemaRef ds:uri="f4381c1d-ea85-42ce-9f9c-5e7853ef013a"/>
    <ds:schemaRef ds:uri="0b95be40-15e3-45b2-992d-35ac3cde79ab"/>
  </ds:schemaRefs>
</ds:datastoreItem>
</file>

<file path=customXml/itemProps3.xml><?xml version="1.0" encoding="utf-8"?>
<ds:datastoreItem xmlns:ds="http://schemas.openxmlformats.org/officeDocument/2006/customXml" ds:itemID="{4044BDE8-1222-4EFE-AC1A-0F0B494F68D8}">
  <ds:schemaRefs>
    <ds:schemaRef ds:uri="http://schemas.microsoft.com/sharepoint/v3/contenttype/forms"/>
  </ds:schemaRefs>
</ds:datastoreItem>
</file>

<file path=docMetadata/LabelInfo.xml><?xml version="1.0" encoding="utf-8"?>
<clbl:labelList xmlns:clbl="http://schemas.microsoft.com/office/2020/mipLabelMetadata">
  <clbl:label id="{11ce85b8-47fd-49a6-b7d7-c9c27be489ba}" enabled="0" method="" siteId="{11ce85b8-47fd-49a6-b7d7-c9c27be489b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8785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Dierks, Hauke</dc:creator>
  <cp:keywords/>
  <dc:description/>
  <cp:lastModifiedBy>Dierks, Hauke</cp:lastModifiedBy>
  <cp:revision>118</cp:revision>
  <dcterms:created xsi:type="dcterms:W3CDTF">2025-03-24T12:42:00Z</dcterms:created>
  <dcterms:modified xsi:type="dcterms:W3CDTF">2025-04-14T12:08:00Z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0x01010040B68CEA0356654690A6FAFBF743B82D</vt:lpwstr>
  </property>
  <property fmtid="{D5CDD505-2E9C-101B-9397-08002B2CF9AE}" pid="3" name="MediaServiceImageTags">
    <vt:lpwstr/>
  </property>
</Properties>
</file>