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27AF" w14:textId="77777777" w:rsidR="009322BE" w:rsidRPr="002E5330" w:rsidRDefault="006D2FE3" w:rsidP="009322BE">
      <w:pPr>
        <w:jc w:val="center"/>
        <w:rPr>
          <w:rFonts w:ascii="Agfa Rotis Sans Serif" w:hAnsi="Agfa Rotis Sans Serif" w:cs="Arial"/>
          <w:b/>
          <w:bCs/>
          <w:sz w:val="36"/>
          <w:szCs w:val="36"/>
          <w:u w:val="single"/>
        </w:rPr>
      </w:pPr>
      <w:r w:rsidRPr="002E5330">
        <w:rPr>
          <w:rFonts w:ascii="Agfa Rotis Sans Serif" w:hAnsi="Agfa Rotis Sans Serif" w:cs="Arial"/>
          <w:b/>
          <w:bCs/>
          <w:sz w:val="36"/>
          <w:szCs w:val="36"/>
          <w:u w:val="single"/>
        </w:rPr>
        <w:t>Zuwendungssatzung</w:t>
      </w:r>
      <w:r w:rsidR="009322BE" w:rsidRPr="002E5330">
        <w:rPr>
          <w:rFonts w:ascii="Agfa Rotis Sans Serif" w:hAnsi="Agfa Rotis Sans Serif" w:cs="Arial"/>
          <w:b/>
          <w:bCs/>
          <w:sz w:val="36"/>
          <w:szCs w:val="36"/>
          <w:u w:val="single"/>
        </w:rPr>
        <w:t xml:space="preserve"> der</w:t>
      </w:r>
    </w:p>
    <w:p w14:paraId="551E27B0" w14:textId="77777777" w:rsidR="009322BE" w:rsidRPr="002E5330" w:rsidRDefault="009322BE" w:rsidP="002E5330">
      <w:pPr>
        <w:jc w:val="center"/>
        <w:rPr>
          <w:rFonts w:ascii="Agfa Rotis Sans Serif" w:hAnsi="Agfa Rotis Sans Serif" w:cs="Arial"/>
          <w:b/>
          <w:bCs/>
          <w:sz w:val="36"/>
          <w:szCs w:val="36"/>
          <w:u w:val="single"/>
        </w:rPr>
      </w:pPr>
      <w:r w:rsidRPr="002E5330">
        <w:rPr>
          <w:rFonts w:ascii="Agfa Rotis Sans Serif" w:hAnsi="Agfa Rotis Sans Serif" w:cs="Arial"/>
          <w:b/>
          <w:bCs/>
          <w:sz w:val="36"/>
          <w:szCs w:val="36"/>
          <w:u w:val="single"/>
        </w:rPr>
        <w:t>Industrie- und Handelskammer</w:t>
      </w:r>
      <w:r w:rsidR="002E5330" w:rsidRPr="002E5330">
        <w:rPr>
          <w:rFonts w:ascii="Agfa Rotis Sans Serif" w:hAnsi="Agfa Rotis Sans Serif" w:cs="Arial"/>
          <w:b/>
          <w:bCs/>
          <w:sz w:val="36"/>
          <w:szCs w:val="36"/>
          <w:u w:val="single"/>
        </w:rPr>
        <w:t xml:space="preserve"> </w:t>
      </w:r>
      <w:r w:rsidRPr="002E5330">
        <w:rPr>
          <w:rFonts w:ascii="Agfa Rotis Sans Serif" w:hAnsi="Agfa Rotis Sans Serif" w:cs="Arial"/>
          <w:b/>
          <w:bCs/>
          <w:sz w:val="36"/>
          <w:szCs w:val="36"/>
          <w:u w:val="single"/>
        </w:rPr>
        <w:t>Schwarzwald-Baar-Heuberg</w:t>
      </w:r>
    </w:p>
    <w:p w14:paraId="551E27B1" w14:textId="77777777" w:rsidR="006D2FE3" w:rsidRPr="002E5330" w:rsidRDefault="006D2FE3" w:rsidP="002E5330">
      <w:pPr>
        <w:rPr>
          <w:rFonts w:ascii="Agfa Rotis Sans Serif" w:hAnsi="Agfa Rotis Sans Serif" w:cs="Arial"/>
          <w:sz w:val="36"/>
          <w:szCs w:val="36"/>
        </w:rPr>
      </w:pPr>
    </w:p>
    <w:p w14:paraId="551E27B2" w14:textId="77777777" w:rsidR="006D2FE3" w:rsidRPr="009322BE" w:rsidRDefault="006D2FE3" w:rsidP="009322BE">
      <w:pPr>
        <w:suppressAutoHyphens/>
        <w:jc w:val="both"/>
        <w:rPr>
          <w:rFonts w:ascii="Agfa Rotis Sans Serif" w:hAnsi="Agfa Rotis Sans Serif" w:cs="Arial"/>
          <w:sz w:val="22"/>
          <w:szCs w:val="22"/>
        </w:rPr>
      </w:pPr>
      <w:r w:rsidRPr="009322BE">
        <w:rPr>
          <w:rFonts w:ascii="Agfa Rotis Sans Serif" w:hAnsi="Agfa Rotis Sans Serif" w:cs="Arial"/>
          <w:sz w:val="22"/>
          <w:szCs w:val="22"/>
        </w:rPr>
        <w:t xml:space="preserve">Die Vollversammlung der </w:t>
      </w:r>
      <w:r w:rsidRPr="00FA02A0">
        <w:rPr>
          <w:rFonts w:ascii="Agfa Rotis Sans Serif" w:hAnsi="Agfa Rotis Sans Serif" w:cs="Arial"/>
          <w:sz w:val="22"/>
          <w:szCs w:val="22"/>
        </w:rPr>
        <w:t>I</w:t>
      </w:r>
      <w:r w:rsidR="009322BE" w:rsidRPr="00FA02A0">
        <w:rPr>
          <w:rFonts w:ascii="Agfa Rotis Sans Serif" w:hAnsi="Agfa Rotis Sans Serif" w:cs="Arial"/>
          <w:sz w:val="22"/>
          <w:szCs w:val="22"/>
        </w:rPr>
        <w:t>ndustrie- und Handelskammer</w:t>
      </w:r>
      <w:r w:rsidRPr="00FA02A0">
        <w:rPr>
          <w:rFonts w:ascii="Agfa Rotis Sans Serif" w:hAnsi="Agfa Rotis Sans Serif" w:cs="Arial"/>
          <w:sz w:val="22"/>
          <w:szCs w:val="22"/>
        </w:rPr>
        <w:t xml:space="preserve"> </w:t>
      </w:r>
      <w:r w:rsidR="009322BE" w:rsidRPr="00FA02A0">
        <w:rPr>
          <w:rFonts w:ascii="Agfa Rotis Sans Serif" w:hAnsi="Agfa Rotis Sans Serif" w:cs="Arial"/>
          <w:sz w:val="22"/>
          <w:szCs w:val="22"/>
        </w:rPr>
        <w:t>Schwarzwald-Baar-Heuberg</w:t>
      </w:r>
      <w:r w:rsidR="009322BE" w:rsidRPr="009322BE">
        <w:rPr>
          <w:rFonts w:ascii="Agfa Rotis Sans Serif" w:hAnsi="Agfa Rotis Sans Serif" w:cs="Arial"/>
          <w:sz w:val="22"/>
          <w:szCs w:val="22"/>
        </w:rPr>
        <w:t xml:space="preserve"> </w:t>
      </w:r>
      <w:r w:rsidRPr="009322BE">
        <w:rPr>
          <w:rFonts w:ascii="Agfa Rotis Sans Serif" w:hAnsi="Agfa Rotis Sans Serif" w:cs="Arial"/>
          <w:sz w:val="22"/>
          <w:szCs w:val="22"/>
        </w:rPr>
        <w:t xml:space="preserve">hat am </w:t>
      </w:r>
      <w:r w:rsidR="00290B81" w:rsidRPr="00054637">
        <w:rPr>
          <w:rFonts w:ascii="Agfa Rotis Sans Serif" w:hAnsi="Agfa Rotis Sans Serif" w:cs="Arial"/>
          <w:sz w:val="22"/>
          <w:szCs w:val="22"/>
        </w:rPr>
        <w:t>16. September 2015</w:t>
      </w:r>
      <w:r w:rsidRPr="009322BE">
        <w:rPr>
          <w:rFonts w:ascii="Agfa Rotis Sans Serif" w:hAnsi="Agfa Rotis Sans Serif" w:cs="Arial"/>
          <w:sz w:val="22"/>
          <w:szCs w:val="22"/>
        </w:rPr>
        <w:t xml:space="preserve"> gemäß § 4 </w:t>
      </w:r>
      <w:r w:rsidR="009322BE" w:rsidRPr="009322BE">
        <w:rPr>
          <w:rFonts w:ascii="Agfa Rotis Sans Serif" w:hAnsi="Agfa Rotis Sans Serif"/>
          <w:bCs/>
          <w:sz w:val="22"/>
          <w:szCs w:val="22"/>
        </w:rPr>
        <w:t>des Gesetzes zur vorläufigen Regelung des Rechts der Industrie- und Handelskammern in der im Bundesgesetzblatt Teil III, Gliederungsnummer 701-1, veröffentlichten bereinigten Fassung, das zuletzt durch Artikel 17 des Gesetzes vom 25. Juli 2013 (BGBl. I S. 2749) geändert worden ist</w:t>
      </w:r>
      <w:r w:rsidR="00CB47B8" w:rsidRPr="009322BE">
        <w:rPr>
          <w:rFonts w:ascii="Agfa Rotis Sans Serif" w:hAnsi="Agfa Rotis Sans Serif" w:cs="Arial"/>
          <w:sz w:val="22"/>
          <w:szCs w:val="22"/>
        </w:rPr>
        <w:t>, i</w:t>
      </w:r>
      <w:r w:rsidR="009322BE" w:rsidRPr="009322BE">
        <w:rPr>
          <w:rFonts w:ascii="Agfa Rotis Sans Serif" w:hAnsi="Agfa Rotis Sans Serif" w:cs="Arial"/>
          <w:sz w:val="22"/>
          <w:szCs w:val="22"/>
        </w:rPr>
        <w:t>n Verbindung mit</w:t>
      </w:r>
      <w:r w:rsidR="009322BE">
        <w:rPr>
          <w:rFonts w:ascii="Agfa Rotis Sans Serif" w:hAnsi="Agfa Rotis Sans Serif" w:cs="Arial"/>
          <w:sz w:val="22"/>
          <w:szCs w:val="22"/>
        </w:rPr>
        <w:t xml:space="preserve"> </w:t>
      </w:r>
      <w:r w:rsidR="009322BE" w:rsidRPr="00FA02A0">
        <w:rPr>
          <w:rFonts w:ascii="Agfa Rotis Sans Serif" w:hAnsi="Agfa Rotis Sans Serif" w:cs="Arial"/>
          <w:sz w:val="22"/>
          <w:szCs w:val="22"/>
        </w:rPr>
        <w:t>§ 20a</w:t>
      </w:r>
      <w:r w:rsidR="00CB47B8" w:rsidRPr="00FA02A0">
        <w:rPr>
          <w:rFonts w:ascii="Agfa Rotis Sans Serif" w:hAnsi="Agfa Rotis Sans Serif" w:cs="Arial"/>
          <w:sz w:val="22"/>
          <w:szCs w:val="22"/>
        </w:rPr>
        <w:t xml:space="preserve"> </w:t>
      </w:r>
      <w:r w:rsidRPr="00FA02A0">
        <w:rPr>
          <w:rFonts w:ascii="Agfa Rotis Sans Serif" w:hAnsi="Agfa Rotis Sans Serif" w:cs="Arial"/>
          <w:sz w:val="22"/>
          <w:szCs w:val="22"/>
        </w:rPr>
        <w:t xml:space="preserve">des Finanzstatuts der </w:t>
      </w:r>
      <w:r w:rsidR="009322BE" w:rsidRPr="00FA02A0">
        <w:rPr>
          <w:rFonts w:ascii="Agfa Rotis Sans Serif" w:hAnsi="Agfa Rotis Sans Serif" w:cs="Arial"/>
          <w:sz w:val="22"/>
          <w:szCs w:val="22"/>
        </w:rPr>
        <w:t>Industrie- und Handelskammer Schwarzwald-Baar-Heuberg</w:t>
      </w:r>
      <w:r w:rsidRPr="00FA02A0">
        <w:rPr>
          <w:rFonts w:ascii="Agfa Rotis Sans Serif" w:hAnsi="Agfa Rotis Sans Serif" w:cs="Arial"/>
          <w:sz w:val="22"/>
          <w:szCs w:val="22"/>
        </w:rPr>
        <w:t xml:space="preserve"> vom </w:t>
      </w:r>
      <w:r w:rsidR="009322BE" w:rsidRPr="00FA02A0">
        <w:rPr>
          <w:rFonts w:ascii="Agfa Rotis Sans Serif" w:hAnsi="Agfa Rotis Sans Serif" w:cs="Arial"/>
          <w:sz w:val="22"/>
          <w:szCs w:val="22"/>
        </w:rPr>
        <w:t>24. September 2014</w:t>
      </w:r>
      <w:r w:rsidRPr="009322BE">
        <w:rPr>
          <w:rFonts w:ascii="Agfa Rotis Sans Serif" w:hAnsi="Agfa Rotis Sans Serif" w:cs="Arial"/>
          <w:sz w:val="22"/>
          <w:szCs w:val="22"/>
        </w:rPr>
        <w:t xml:space="preserve"> die nachstehende Zuwendungssatzung erlassen</w:t>
      </w:r>
      <w:r w:rsidR="00054637">
        <w:rPr>
          <w:rFonts w:ascii="Agfa Rotis Sans Serif" w:hAnsi="Agfa Rotis Sans Serif" w:cs="Arial"/>
          <w:sz w:val="22"/>
          <w:szCs w:val="22"/>
        </w:rPr>
        <w:t>,</w:t>
      </w:r>
      <w:r w:rsidR="00054637" w:rsidRPr="00054637">
        <w:rPr>
          <w:rFonts w:ascii="Agfa Rotis Sans Serif" w:hAnsi="Agfa Rotis Sans Serif"/>
          <w:bCs/>
          <w:sz w:val="22"/>
          <w:szCs w:val="22"/>
        </w:rPr>
        <w:t xml:space="preserve"> </w:t>
      </w:r>
      <w:r w:rsidR="00054637">
        <w:rPr>
          <w:rFonts w:ascii="Agfa Rotis Sans Serif" w:hAnsi="Agfa Rotis Sans Serif"/>
          <w:bCs/>
          <w:sz w:val="22"/>
          <w:szCs w:val="22"/>
        </w:rPr>
        <w:t>welche</w:t>
      </w:r>
      <w:r w:rsidR="00054637" w:rsidRPr="00054637">
        <w:rPr>
          <w:rFonts w:ascii="Agfa Rotis Sans Serif" w:hAnsi="Agfa Rotis Sans Serif"/>
          <w:bCs/>
          <w:sz w:val="22"/>
          <w:szCs w:val="22"/>
        </w:rPr>
        <w:t xml:space="preserve"> durch das Ministerium für Finanzen und Wirtschaft mit Schreiben vom </w:t>
      </w:r>
      <w:r w:rsidR="00D95B92" w:rsidRPr="00D95B92">
        <w:rPr>
          <w:rFonts w:ascii="Agfa Rotis Sans Serif" w:hAnsi="Agfa Rotis Sans Serif" w:cs="Arial"/>
          <w:bCs/>
          <w:sz w:val="22"/>
          <w:szCs w:val="20"/>
        </w:rPr>
        <w:t>18</w:t>
      </w:r>
      <w:r w:rsidR="00054637" w:rsidRPr="00D95B92">
        <w:rPr>
          <w:rFonts w:ascii="Agfa Rotis Sans Serif" w:hAnsi="Agfa Rotis Sans Serif" w:cs="Arial"/>
          <w:bCs/>
          <w:sz w:val="22"/>
          <w:szCs w:val="20"/>
        </w:rPr>
        <w:t>. September 2015</w:t>
      </w:r>
      <w:r w:rsidR="00054637" w:rsidRPr="00054637">
        <w:rPr>
          <w:rFonts w:ascii="Agfa Rotis Sans Serif" w:hAnsi="Agfa Rotis Sans Serif" w:cs="Arial"/>
          <w:bCs/>
          <w:sz w:val="22"/>
          <w:szCs w:val="20"/>
        </w:rPr>
        <w:t>, Aktenzeichen 82-4221.2-10/50, genehmigt wurde</w:t>
      </w:r>
      <w:r w:rsidRPr="009322BE">
        <w:rPr>
          <w:rFonts w:ascii="Agfa Rotis Sans Serif" w:hAnsi="Agfa Rotis Sans Serif" w:cs="Arial"/>
          <w:sz w:val="22"/>
          <w:szCs w:val="22"/>
        </w:rPr>
        <w:t>:</w:t>
      </w:r>
    </w:p>
    <w:p w14:paraId="551E27B3" w14:textId="77777777" w:rsidR="006D2FE3" w:rsidRPr="009322BE" w:rsidRDefault="006D2FE3" w:rsidP="009322BE">
      <w:pPr>
        <w:jc w:val="both"/>
        <w:rPr>
          <w:rFonts w:ascii="Agfa Rotis Sans Serif" w:hAnsi="Agfa Rotis Sans Serif" w:cs="Arial"/>
          <w:sz w:val="22"/>
          <w:szCs w:val="22"/>
        </w:rPr>
      </w:pPr>
    </w:p>
    <w:p w14:paraId="551E27B4" w14:textId="77777777" w:rsidR="009322BE" w:rsidRDefault="009322BE" w:rsidP="009322BE">
      <w:pPr>
        <w:jc w:val="both"/>
        <w:rPr>
          <w:rFonts w:ascii="Agfa Rotis Sans Serif" w:hAnsi="Agfa Rotis Sans Serif" w:cs="Arial"/>
          <w:b/>
          <w:bCs/>
          <w:sz w:val="22"/>
          <w:szCs w:val="22"/>
        </w:rPr>
      </w:pPr>
    </w:p>
    <w:p w14:paraId="551E27B5" w14:textId="77777777" w:rsidR="006D2FE3" w:rsidRPr="009322BE" w:rsidRDefault="006D2FE3" w:rsidP="009322BE">
      <w:pPr>
        <w:numPr>
          <w:ilvl w:val="0"/>
          <w:numId w:val="12"/>
        </w:numPr>
        <w:ind w:left="567" w:hanging="567"/>
        <w:jc w:val="both"/>
        <w:rPr>
          <w:rFonts w:ascii="Agfa Rotis Sans Serif" w:hAnsi="Agfa Rotis Sans Serif" w:cs="Arial"/>
          <w:b/>
          <w:bCs/>
          <w:sz w:val="22"/>
          <w:szCs w:val="22"/>
        </w:rPr>
      </w:pPr>
      <w:r w:rsidRPr="009322BE">
        <w:rPr>
          <w:rFonts w:ascii="Agfa Rotis Sans Serif" w:hAnsi="Agfa Rotis Sans Serif" w:cs="Arial"/>
          <w:b/>
          <w:bCs/>
          <w:sz w:val="22"/>
          <w:szCs w:val="22"/>
        </w:rPr>
        <w:t>Zuwendungsbegriff und Bewilligungsvoraussetzungen</w:t>
      </w:r>
    </w:p>
    <w:p w14:paraId="551E27B6" w14:textId="77777777" w:rsidR="006D2FE3" w:rsidRPr="009322BE" w:rsidRDefault="006D2FE3" w:rsidP="009322BE">
      <w:pPr>
        <w:jc w:val="both"/>
        <w:rPr>
          <w:rFonts w:ascii="Agfa Rotis Sans Serif" w:hAnsi="Agfa Rotis Sans Serif" w:cs="Arial"/>
          <w:sz w:val="22"/>
          <w:szCs w:val="22"/>
        </w:rPr>
      </w:pPr>
    </w:p>
    <w:p w14:paraId="551E27B7" w14:textId="77777777" w:rsidR="006D2FE3" w:rsidRPr="009322BE" w:rsidRDefault="006D2FE3" w:rsidP="009322BE">
      <w:pPr>
        <w:numPr>
          <w:ilvl w:val="0"/>
          <w:numId w:val="5"/>
        </w:numPr>
        <w:tabs>
          <w:tab w:val="clear" w:pos="360"/>
        </w:tabs>
        <w:ind w:left="567" w:hanging="567"/>
        <w:jc w:val="both"/>
        <w:rPr>
          <w:rFonts w:ascii="Agfa Rotis Sans Serif" w:hAnsi="Agfa Rotis Sans Serif" w:cs="Arial"/>
          <w:sz w:val="22"/>
          <w:szCs w:val="22"/>
        </w:rPr>
      </w:pPr>
      <w:r w:rsidRPr="009322BE">
        <w:rPr>
          <w:rFonts w:ascii="Agfa Rotis Sans Serif" w:hAnsi="Agfa Rotis Sans Serif" w:cs="Arial"/>
          <w:sz w:val="22"/>
          <w:szCs w:val="22"/>
        </w:rPr>
        <w:t>Zuwendungen werden nach dieser Satzung, den ergänzenden Zuwendungs-Richtlinien</w:t>
      </w:r>
      <w:r w:rsidR="0098328D" w:rsidRPr="009322BE">
        <w:rPr>
          <w:rFonts w:ascii="Agfa Rotis Sans Serif" w:hAnsi="Agfa Rotis Sans Serif" w:cs="Arial"/>
          <w:sz w:val="22"/>
          <w:szCs w:val="22"/>
        </w:rPr>
        <w:t>, dem beschlossenen Wirtschaft</w:t>
      </w:r>
      <w:r w:rsidR="00A40AF4" w:rsidRPr="009322BE">
        <w:rPr>
          <w:rFonts w:ascii="Agfa Rotis Sans Serif" w:hAnsi="Agfa Rotis Sans Serif" w:cs="Arial"/>
          <w:sz w:val="22"/>
          <w:szCs w:val="22"/>
        </w:rPr>
        <w:t>splan</w:t>
      </w:r>
      <w:r w:rsidRPr="009322BE">
        <w:rPr>
          <w:rFonts w:ascii="Agfa Rotis Sans Serif" w:hAnsi="Agfa Rotis Sans Serif" w:cs="Arial"/>
          <w:sz w:val="22"/>
          <w:szCs w:val="22"/>
        </w:rPr>
        <w:t xml:space="preserve"> und unter Beachtung des für die IHK geltenden Rechts gewährt. Zuwendungen sind freiwillige finanzielle Leistungen an Stellen außerhalb der IHK, die unter Beachtung von § 1 IHKG</w:t>
      </w:r>
      <w:r w:rsidR="00200074" w:rsidRPr="009322BE">
        <w:rPr>
          <w:rFonts w:ascii="Agfa Rotis Sans Serif" w:hAnsi="Agfa Rotis Sans Serif" w:cs="Arial"/>
          <w:sz w:val="22"/>
          <w:szCs w:val="22"/>
        </w:rPr>
        <w:t xml:space="preserve"> und den Grundsätzen des staatlichen Haushaltsrechts </w:t>
      </w:r>
      <w:r w:rsidRPr="009322BE">
        <w:rPr>
          <w:rFonts w:ascii="Agfa Rotis Sans Serif" w:hAnsi="Agfa Rotis Sans Serif" w:cs="Arial"/>
          <w:sz w:val="22"/>
          <w:szCs w:val="22"/>
        </w:rPr>
        <w:t>zur Erfüllung be</w:t>
      </w:r>
      <w:r w:rsidRPr="009322BE">
        <w:rPr>
          <w:rFonts w:ascii="Agfa Rotis Sans Serif" w:hAnsi="Agfa Rotis Sans Serif" w:cs="Arial"/>
          <w:sz w:val="22"/>
          <w:szCs w:val="22"/>
        </w:rPr>
        <w:softHyphen/>
        <w:t xml:space="preserve">stimmter Zwecke erfolgen, welche ohne diese nicht oder nicht in ausreichendem Maß erreicht werden. </w:t>
      </w:r>
    </w:p>
    <w:p w14:paraId="551E27B8" w14:textId="77777777" w:rsidR="006D2FE3" w:rsidRPr="009322BE" w:rsidRDefault="006D2FE3" w:rsidP="009322BE">
      <w:pPr>
        <w:ind w:left="567" w:hanging="567"/>
        <w:jc w:val="both"/>
        <w:rPr>
          <w:rFonts w:ascii="Agfa Rotis Sans Serif" w:hAnsi="Agfa Rotis Sans Serif" w:cs="Arial"/>
          <w:sz w:val="22"/>
          <w:szCs w:val="22"/>
        </w:rPr>
      </w:pPr>
    </w:p>
    <w:p w14:paraId="551E27B9" w14:textId="77777777" w:rsidR="006D2FE3" w:rsidRPr="009322BE" w:rsidRDefault="006D2FE3" w:rsidP="009322BE">
      <w:pPr>
        <w:numPr>
          <w:ilvl w:val="0"/>
          <w:numId w:val="5"/>
        </w:numPr>
        <w:tabs>
          <w:tab w:val="clear" w:pos="360"/>
        </w:tabs>
        <w:ind w:left="567" w:hanging="567"/>
        <w:jc w:val="both"/>
        <w:rPr>
          <w:rFonts w:ascii="Agfa Rotis Sans Serif" w:hAnsi="Agfa Rotis Sans Serif" w:cs="Arial"/>
          <w:sz w:val="22"/>
          <w:szCs w:val="22"/>
        </w:rPr>
      </w:pPr>
      <w:r w:rsidRPr="009322BE">
        <w:rPr>
          <w:rFonts w:ascii="Agfa Rotis Sans Serif" w:hAnsi="Agfa Rotis Sans Serif" w:cs="Arial"/>
          <w:sz w:val="22"/>
          <w:szCs w:val="22"/>
        </w:rPr>
        <w:t>Zuwendungen dürfen nur solchen Empfängern bewilligt werden, bei denen eine ord</w:t>
      </w:r>
      <w:r w:rsidRPr="009322BE">
        <w:rPr>
          <w:rFonts w:ascii="Agfa Rotis Sans Serif" w:hAnsi="Agfa Rotis Sans Serif" w:cs="Arial"/>
          <w:sz w:val="22"/>
          <w:szCs w:val="22"/>
        </w:rPr>
        <w:softHyphen/>
        <w:t xml:space="preserve">nungsgemäße Mittelbewirtschaftung gesichert erscheint, und die in der Lage sind, die Verwendung der Mittel bestimmungsgemäß nachzuweisen. Eine </w:t>
      </w:r>
      <w:proofErr w:type="spellStart"/>
      <w:r w:rsidRPr="009322BE">
        <w:rPr>
          <w:rFonts w:ascii="Agfa Rotis Sans Serif" w:hAnsi="Agfa Rotis Sans Serif" w:cs="Arial"/>
          <w:sz w:val="22"/>
          <w:szCs w:val="22"/>
        </w:rPr>
        <w:t>Anfinanzierung</w:t>
      </w:r>
      <w:proofErr w:type="spellEnd"/>
      <w:r w:rsidRPr="009322BE">
        <w:rPr>
          <w:rFonts w:ascii="Agfa Rotis Sans Serif" w:hAnsi="Agfa Rotis Sans Serif" w:cs="Arial"/>
          <w:sz w:val="22"/>
          <w:szCs w:val="22"/>
        </w:rPr>
        <w:t xml:space="preserve"> von Vorhaben, deren Gesamtfinanzierung nicht hinreichend gesichert ist, ist unzulässig. Für bereits beendete Projekte ist eine Zuwendung unzulässig.</w:t>
      </w:r>
    </w:p>
    <w:p w14:paraId="551E27BA" w14:textId="77777777" w:rsidR="006D2FE3" w:rsidRPr="009322BE" w:rsidRDefault="006D2FE3" w:rsidP="009322BE">
      <w:pPr>
        <w:ind w:left="567" w:hanging="567"/>
        <w:jc w:val="both"/>
        <w:rPr>
          <w:rFonts w:ascii="Agfa Rotis Sans Serif" w:hAnsi="Agfa Rotis Sans Serif" w:cs="Arial"/>
          <w:sz w:val="22"/>
          <w:szCs w:val="22"/>
        </w:rPr>
      </w:pPr>
    </w:p>
    <w:p w14:paraId="551E27BB" w14:textId="77777777" w:rsidR="006D2FE3" w:rsidRPr="009322BE" w:rsidRDefault="006D2FE3" w:rsidP="009322BE">
      <w:pPr>
        <w:numPr>
          <w:ilvl w:val="0"/>
          <w:numId w:val="5"/>
        </w:numPr>
        <w:tabs>
          <w:tab w:val="clear" w:pos="360"/>
        </w:tabs>
        <w:ind w:left="567" w:hanging="567"/>
        <w:jc w:val="both"/>
        <w:rPr>
          <w:rFonts w:ascii="Agfa Rotis Sans Serif" w:hAnsi="Agfa Rotis Sans Serif" w:cs="Arial"/>
          <w:sz w:val="22"/>
          <w:szCs w:val="22"/>
        </w:rPr>
      </w:pPr>
      <w:r w:rsidRPr="009322BE">
        <w:rPr>
          <w:rFonts w:ascii="Agfa Rotis Sans Serif" w:hAnsi="Agfa Rotis Sans Serif" w:cs="Arial"/>
          <w:sz w:val="22"/>
          <w:szCs w:val="22"/>
        </w:rPr>
        <w:t>Bei Zuwendungen von mehreren Stellen, die dasselbe Projekt betreffen, hat der Zuwen</w:t>
      </w:r>
      <w:r w:rsidRPr="009322BE">
        <w:rPr>
          <w:rFonts w:ascii="Agfa Rotis Sans Serif" w:hAnsi="Agfa Rotis Sans Serif" w:cs="Arial"/>
          <w:sz w:val="22"/>
          <w:szCs w:val="22"/>
        </w:rPr>
        <w:softHyphen/>
        <w:t>dungsempfänger im Antrag an die IHK sämtliche bereits genehmigte und geplante Zu</w:t>
      </w:r>
      <w:r w:rsidRPr="009322BE">
        <w:rPr>
          <w:rFonts w:ascii="Agfa Rotis Sans Serif" w:hAnsi="Agfa Rotis Sans Serif" w:cs="Arial"/>
          <w:sz w:val="22"/>
          <w:szCs w:val="22"/>
        </w:rPr>
        <w:softHyphen/>
        <w:t xml:space="preserve">wendungen zu benennen. Eine Überfinanzierung ist unzulässig. </w:t>
      </w:r>
    </w:p>
    <w:p w14:paraId="551E27BC" w14:textId="77777777" w:rsidR="006D2FE3" w:rsidRDefault="006D2FE3" w:rsidP="009322BE">
      <w:pPr>
        <w:ind w:left="567" w:hanging="567"/>
        <w:jc w:val="both"/>
        <w:rPr>
          <w:rFonts w:ascii="Agfa Rotis Sans Serif" w:hAnsi="Agfa Rotis Sans Serif" w:cs="Arial"/>
          <w:sz w:val="22"/>
          <w:szCs w:val="22"/>
        </w:rPr>
      </w:pPr>
    </w:p>
    <w:p w14:paraId="551E27BD" w14:textId="77777777" w:rsidR="009322BE" w:rsidRPr="009322BE" w:rsidRDefault="009322BE" w:rsidP="009322BE">
      <w:pPr>
        <w:ind w:left="567" w:hanging="567"/>
        <w:jc w:val="both"/>
        <w:rPr>
          <w:rFonts w:ascii="Agfa Rotis Sans Serif" w:hAnsi="Agfa Rotis Sans Serif" w:cs="Arial"/>
          <w:sz w:val="22"/>
          <w:szCs w:val="22"/>
        </w:rPr>
      </w:pPr>
    </w:p>
    <w:p w14:paraId="551E27BE" w14:textId="77777777" w:rsidR="006D2FE3" w:rsidRPr="009322BE" w:rsidRDefault="006D2FE3" w:rsidP="009322BE">
      <w:pPr>
        <w:numPr>
          <w:ilvl w:val="0"/>
          <w:numId w:val="12"/>
        </w:numPr>
        <w:ind w:left="567" w:hanging="567"/>
        <w:jc w:val="both"/>
        <w:rPr>
          <w:rFonts w:ascii="Agfa Rotis Sans Serif" w:hAnsi="Agfa Rotis Sans Serif" w:cs="Arial"/>
          <w:b/>
          <w:bCs/>
          <w:sz w:val="22"/>
          <w:szCs w:val="22"/>
        </w:rPr>
      </w:pPr>
      <w:r w:rsidRPr="009322BE">
        <w:rPr>
          <w:rFonts w:ascii="Agfa Rotis Sans Serif" w:hAnsi="Agfa Rotis Sans Serif" w:cs="Arial"/>
          <w:b/>
          <w:bCs/>
          <w:sz w:val="22"/>
          <w:szCs w:val="22"/>
        </w:rPr>
        <w:t>Art und Höhe der Zuwendung</w:t>
      </w:r>
    </w:p>
    <w:p w14:paraId="551E27BF" w14:textId="77777777" w:rsidR="006D2FE3" w:rsidRPr="009322BE" w:rsidRDefault="006D2FE3" w:rsidP="009322BE">
      <w:pPr>
        <w:jc w:val="both"/>
        <w:rPr>
          <w:rFonts w:ascii="Agfa Rotis Sans Serif" w:hAnsi="Agfa Rotis Sans Serif" w:cs="Arial"/>
          <w:sz w:val="22"/>
          <w:szCs w:val="22"/>
        </w:rPr>
      </w:pPr>
    </w:p>
    <w:p w14:paraId="551E27C0" w14:textId="77777777" w:rsidR="006D2FE3" w:rsidRDefault="006D2FE3" w:rsidP="009322BE">
      <w:pPr>
        <w:numPr>
          <w:ilvl w:val="0"/>
          <w:numId w:val="6"/>
        </w:numPr>
        <w:tabs>
          <w:tab w:val="clear" w:pos="360"/>
        </w:tabs>
        <w:ind w:left="567" w:hanging="567"/>
        <w:jc w:val="both"/>
        <w:rPr>
          <w:rFonts w:ascii="Agfa Rotis Sans Serif" w:hAnsi="Agfa Rotis Sans Serif" w:cs="Arial"/>
          <w:sz w:val="22"/>
          <w:szCs w:val="22"/>
        </w:rPr>
      </w:pPr>
      <w:r w:rsidRPr="009322BE">
        <w:rPr>
          <w:rFonts w:ascii="Agfa Rotis Sans Serif" w:hAnsi="Agfa Rotis Sans Serif" w:cs="Arial"/>
          <w:sz w:val="22"/>
          <w:szCs w:val="22"/>
        </w:rPr>
        <w:t>Die IHK fördert sowohl Projekte (Projektförderung) als auch Institutionen (Institutionelle Förde</w:t>
      </w:r>
      <w:r w:rsidR="00901146">
        <w:rPr>
          <w:rFonts w:ascii="Agfa Rotis Sans Serif" w:hAnsi="Agfa Rotis Sans Serif" w:cs="Arial"/>
          <w:sz w:val="22"/>
          <w:szCs w:val="22"/>
        </w:rPr>
        <w:t>rung):</w:t>
      </w:r>
    </w:p>
    <w:p w14:paraId="551E27C1" w14:textId="77777777" w:rsidR="00901146" w:rsidRPr="009322BE" w:rsidRDefault="00901146" w:rsidP="00901146">
      <w:pPr>
        <w:ind w:left="567"/>
        <w:jc w:val="both"/>
        <w:rPr>
          <w:rFonts w:ascii="Agfa Rotis Sans Serif" w:hAnsi="Agfa Rotis Sans Serif" w:cs="Arial"/>
          <w:sz w:val="22"/>
          <w:szCs w:val="22"/>
        </w:rPr>
      </w:pPr>
    </w:p>
    <w:p w14:paraId="551E27C2" w14:textId="77777777" w:rsidR="006D2FE3" w:rsidRPr="009322BE" w:rsidRDefault="006D2FE3" w:rsidP="00901146">
      <w:pPr>
        <w:numPr>
          <w:ilvl w:val="0"/>
          <w:numId w:val="13"/>
        </w:numPr>
        <w:ind w:left="993" w:hanging="284"/>
        <w:jc w:val="both"/>
        <w:rPr>
          <w:rFonts w:ascii="Agfa Rotis Sans Serif" w:hAnsi="Agfa Rotis Sans Serif" w:cs="Arial"/>
          <w:sz w:val="22"/>
          <w:szCs w:val="22"/>
        </w:rPr>
      </w:pPr>
      <w:r w:rsidRPr="009322BE">
        <w:rPr>
          <w:rFonts w:ascii="Agfa Rotis Sans Serif" w:hAnsi="Agfa Rotis Sans Serif" w:cs="Arial"/>
          <w:sz w:val="22"/>
          <w:szCs w:val="22"/>
        </w:rPr>
        <w:t xml:space="preserve">Projektförderungen sind Zuwendungen zur Deckung von Ausgaben des  Zuwendungsempfängers für einzelne abgegrenzte Vorhaben. </w:t>
      </w:r>
    </w:p>
    <w:p w14:paraId="551E27C3" w14:textId="77777777" w:rsidR="006D2FE3" w:rsidRPr="009322BE" w:rsidRDefault="006D2FE3" w:rsidP="00901146">
      <w:pPr>
        <w:numPr>
          <w:ilvl w:val="0"/>
          <w:numId w:val="13"/>
        </w:numPr>
        <w:ind w:left="993" w:hanging="284"/>
        <w:jc w:val="both"/>
        <w:rPr>
          <w:rFonts w:ascii="Agfa Rotis Sans Serif" w:hAnsi="Agfa Rotis Sans Serif" w:cs="Arial"/>
          <w:sz w:val="22"/>
          <w:szCs w:val="22"/>
        </w:rPr>
      </w:pPr>
      <w:r w:rsidRPr="009322BE">
        <w:rPr>
          <w:rFonts w:ascii="Agfa Rotis Sans Serif" w:hAnsi="Agfa Rotis Sans Serif" w:cs="Arial"/>
          <w:sz w:val="22"/>
          <w:szCs w:val="22"/>
        </w:rPr>
        <w:t>Institutionelle Förderungen sind Zuwendungen zur Deckung eines nicht  abgegrenzte</w:t>
      </w:r>
      <w:r w:rsidR="00901146">
        <w:rPr>
          <w:rFonts w:ascii="Agfa Rotis Sans Serif" w:hAnsi="Agfa Rotis Sans Serif" w:cs="Arial"/>
          <w:sz w:val="22"/>
          <w:szCs w:val="22"/>
        </w:rPr>
        <w:t>n Teils der Ausgaben oder –</w:t>
      </w:r>
      <w:r w:rsidRPr="009322BE">
        <w:rPr>
          <w:rFonts w:ascii="Agfa Rotis Sans Serif" w:hAnsi="Agfa Rotis Sans Serif" w:cs="Arial"/>
          <w:sz w:val="22"/>
          <w:szCs w:val="22"/>
        </w:rPr>
        <w:t xml:space="preserve"> i</w:t>
      </w:r>
      <w:r w:rsidR="00901146">
        <w:rPr>
          <w:rFonts w:ascii="Agfa Rotis Sans Serif" w:hAnsi="Agfa Rotis Sans Serif" w:cs="Arial"/>
          <w:sz w:val="22"/>
          <w:szCs w:val="22"/>
        </w:rPr>
        <w:t xml:space="preserve">n besonderen Ausnahmefällen – </w:t>
      </w:r>
      <w:r w:rsidRPr="009322BE">
        <w:rPr>
          <w:rFonts w:ascii="Agfa Rotis Sans Serif" w:hAnsi="Agfa Rotis Sans Serif" w:cs="Arial"/>
          <w:sz w:val="22"/>
          <w:szCs w:val="22"/>
        </w:rPr>
        <w:t xml:space="preserve">der gesamten Ausgaben des Zuwendungsempfängers. </w:t>
      </w:r>
    </w:p>
    <w:p w14:paraId="551E27C4" w14:textId="77777777" w:rsidR="006D2FE3" w:rsidRPr="009322BE" w:rsidRDefault="006D2FE3" w:rsidP="009322BE">
      <w:pPr>
        <w:ind w:left="567" w:hanging="567"/>
        <w:jc w:val="both"/>
        <w:rPr>
          <w:rFonts w:ascii="Agfa Rotis Sans Serif" w:hAnsi="Agfa Rotis Sans Serif" w:cs="Arial"/>
          <w:sz w:val="22"/>
          <w:szCs w:val="22"/>
        </w:rPr>
      </w:pPr>
    </w:p>
    <w:p w14:paraId="551E27C5" w14:textId="77777777" w:rsidR="006D2FE3" w:rsidRDefault="006D2FE3" w:rsidP="009322BE">
      <w:pPr>
        <w:numPr>
          <w:ilvl w:val="0"/>
          <w:numId w:val="6"/>
        </w:numPr>
        <w:tabs>
          <w:tab w:val="clear" w:pos="360"/>
        </w:tabs>
        <w:ind w:left="567" w:hanging="567"/>
        <w:jc w:val="both"/>
        <w:rPr>
          <w:rFonts w:ascii="Agfa Rotis Sans Serif" w:hAnsi="Agfa Rotis Sans Serif" w:cs="Arial"/>
          <w:sz w:val="22"/>
          <w:szCs w:val="22"/>
        </w:rPr>
      </w:pPr>
      <w:r w:rsidRPr="009322BE">
        <w:rPr>
          <w:rFonts w:ascii="Agfa Rotis Sans Serif" w:hAnsi="Agfa Rotis Sans Serif" w:cs="Arial"/>
          <w:sz w:val="22"/>
          <w:szCs w:val="22"/>
        </w:rPr>
        <w:t>Die Zuwendung ist auf einen Höchstbetrag zu begrenzen. Die Zuwendung wird zur Voll</w:t>
      </w:r>
      <w:r w:rsidRPr="009322BE">
        <w:rPr>
          <w:rFonts w:ascii="Agfa Rotis Sans Serif" w:hAnsi="Agfa Rotis Sans Serif" w:cs="Arial"/>
          <w:sz w:val="22"/>
          <w:szCs w:val="22"/>
        </w:rPr>
        <w:softHyphen/>
        <w:t>finanzierung oder Teilfinanzierung  des zu erfüllenden Zwecks unter Berücksichtigung der Grundsätze von Wirtschaftlichkeit und S</w:t>
      </w:r>
      <w:r w:rsidR="00901146">
        <w:rPr>
          <w:rFonts w:ascii="Agfa Rotis Sans Serif" w:hAnsi="Agfa Rotis Sans Serif" w:cs="Arial"/>
          <w:sz w:val="22"/>
          <w:szCs w:val="22"/>
        </w:rPr>
        <w:t>parsamkeit bewilligt, und zwar</w:t>
      </w:r>
    </w:p>
    <w:p w14:paraId="551E27C6" w14:textId="77777777" w:rsidR="00901146" w:rsidRPr="009322BE" w:rsidRDefault="00901146" w:rsidP="00901146">
      <w:pPr>
        <w:ind w:left="567"/>
        <w:jc w:val="both"/>
        <w:rPr>
          <w:rFonts w:ascii="Agfa Rotis Sans Serif" w:hAnsi="Agfa Rotis Sans Serif" w:cs="Arial"/>
          <w:sz w:val="22"/>
          <w:szCs w:val="22"/>
        </w:rPr>
      </w:pPr>
    </w:p>
    <w:p w14:paraId="551E27C7" w14:textId="77777777" w:rsidR="006D2FE3" w:rsidRPr="009322BE" w:rsidRDefault="006D2FE3" w:rsidP="00901146">
      <w:pPr>
        <w:numPr>
          <w:ilvl w:val="3"/>
          <w:numId w:val="4"/>
        </w:numPr>
        <w:tabs>
          <w:tab w:val="clear" w:pos="360"/>
        </w:tabs>
        <w:ind w:left="993" w:hanging="284"/>
        <w:jc w:val="both"/>
        <w:rPr>
          <w:rFonts w:ascii="Agfa Rotis Sans Serif" w:hAnsi="Agfa Rotis Sans Serif" w:cs="Arial"/>
          <w:sz w:val="22"/>
          <w:szCs w:val="22"/>
        </w:rPr>
      </w:pPr>
      <w:r w:rsidRPr="009322BE">
        <w:rPr>
          <w:rFonts w:ascii="Agfa Rotis Sans Serif" w:hAnsi="Agfa Rotis Sans Serif" w:cs="Arial"/>
          <w:sz w:val="22"/>
          <w:szCs w:val="22"/>
        </w:rPr>
        <w:t>mit einem festen Betrag der zuwendungsfähigen Ausgaben (Festbetragsfinan</w:t>
      </w:r>
      <w:r w:rsidRPr="009322BE">
        <w:rPr>
          <w:rFonts w:ascii="Agfa Rotis Sans Serif" w:hAnsi="Agfa Rotis Sans Serif" w:cs="Arial"/>
          <w:sz w:val="22"/>
          <w:szCs w:val="22"/>
        </w:rPr>
        <w:softHyphen/>
        <w:t xml:space="preserve">zierung), </w:t>
      </w:r>
    </w:p>
    <w:p w14:paraId="551E27C8" w14:textId="77777777" w:rsidR="006D2FE3" w:rsidRPr="009322BE" w:rsidRDefault="006D2FE3" w:rsidP="00901146">
      <w:pPr>
        <w:numPr>
          <w:ilvl w:val="3"/>
          <w:numId w:val="4"/>
        </w:numPr>
        <w:tabs>
          <w:tab w:val="clear" w:pos="360"/>
        </w:tabs>
        <w:ind w:left="993" w:hanging="284"/>
        <w:jc w:val="both"/>
        <w:rPr>
          <w:rFonts w:ascii="Agfa Rotis Sans Serif" w:hAnsi="Agfa Rotis Sans Serif" w:cs="Arial"/>
          <w:sz w:val="22"/>
          <w:szCs w:val="22"/>
        </w:rPr>
      </w:pPr>
      <w:r w:rsidRPr="009322BE">
        <w:rPr>
          <w:rFonts w:ascii="Agfa Rotis Sans Serif" w:hAnsi="Agfa Rotis Sans Serif" w:cs="Arial"/>
          <w:sz w:val="22"/>
          <w:szCs w:val="22"/>
        </w:rPr>
        <w:t xml:space="preserve">nach einem bestimmten Vomhundertsatz oder Anteil der zuwendungsfähigen Ausgaben (Anteilfinanzierung) oder </w:t>
      </w:r>
    </w:p>
    <w:p w14:paraId="551E27C9" w14:textId="77777777" w:rsidR="006D2FE3" w:rsidRPr="009322BE" w:rsidRDefault="006D2FE3" w:rsidP="00901146">
      <w:pPr>
        <w:numPr>
          <w:ilvl w:val="3"/>
          <w:numId w:val="4"/>
        </w:numPr>
        <w:tabs>
          <w:tab w:val="clear" w:pos="360"/>
        </w:tabs>
        <w:ind w:left="993" w:hanging="284"/>
        <w:jc w:val="both"/>
        <w:rPr>
          <w:rFonts w:ascii="Agfa Rotis Sans Serif" w:hAnsi="Agfa Rotis Sans Serif" w:cs="Arial"/>
          <w:sz w:val="22"/>
          <w:szCs w:val="22"/>
        </w:rPr>
      </w:pPr>
      <w:r w:rsidRPr="009322BE">
        <w:rPr>
          <w:rFonts w:ascii="Agfa Rotis Sans Serif" w:hAnsi="Agfa Rotis Sans Serif" w:cs="Arial"/>
          <w:sz w:val="22"/>
          <w:szCs w:val="22"/>
        </w:rPr>
        <w:lastRenderedPageBreak/>
        <w:t>zur Deckung eines Fehlbedarfs, den der Zuwendungsempfänger nicht durch ei</w:t>
      </w:r>
      <w:r w:rsidRPr="009322BE">
        <w:rPr>
          <w:rFonts w:ascii="Agfa Rotis Sans Serif" w:hAnsi="Agfa Rotis Sans Serif" w:cs="Arial"/>
          <w:sz w:val="22"/>
          <w:szCs w:val="22"/>
        </w:rPr>
        <w:softHyphen/>
        <w:t>gene oder fremde Mittel decken kann (Fehlbedarfsfinanzierung).</w:t>
      </w:r>
    </w:p>
    <w:p w14:paraId="551E27CA" w14:textId="77777777" w:rsidR="006D2FE3" w:rsidRPr="009322BE" w:rsidRDefault="006D2FE3" w:rsidP="009322BE">
      <w:pPr>
        <w:ind w:left="567" w:hanging="567"/>
        <w:jc w:val="both"/>
        <w:rPr>
          <w:rFonts w:ascii="Agfa Rotis Sans Serif" w:hAnsi="Agfa Rotis Sans Serif" w:cs="Arial"/>
          <w:sz w:val="22"/>
          <w:szCs w:val="22"/>
        </w:rPr>
      </w:pPr>
    </w:p>
    <w:p w14:paraId="551E27CB" w14:textId="77777777" w:rsidR="006D2FE3" w:rsidRPr="009322BE" w:rsidRDefault="006D2FE3" w:rsidP="009322BE">
      <w:pPr>
        <w:numPr>
          <w:ilvl w:val="0"/>
          <w:numId w:val="6"/>
        </w:numPr>
        <w:tabs>
          <w:tab w:val="clear" w:pos="360"/>
        </w:tabs>
        <w:ind w:left="567" w:hanging="567"/>
        <w:jc w:val="both"/>
        <w:rPr>
          <w:rFonts w:ascii="Agfa Rotis Sans Serif" w:hAnsi="Agfa Rotis Sans Serif" w:cs="Arial"/>
          <w:sz w:val="22"/>
          <w:szCs w:val="22"/>
        </w:rPr>
      </w:pPr>
      <w:r w:rsidRPr="009322BE">
        <w:rPr>
          <w:rFonts w:ascii="Agfa Rotis Sans Serif" w:hAnsi="Agfa Rotis Sans Serif" w:cs="Arial"/>
          <w:sz w:val="22"/>
          <w:szCs w:val="22"/>
        </w:rPr>
        <w:t>Die Zuwendung darf nur zur Erfüllung des in der Bewilligung bestimmten Zwecks ver</w:t>
      </w:r>
      <w:r w:rsidRPr="009322BE">
        <w:rPr>
          <w:rFonts w:ascii="Agfa Rotis Sans Serif" w:hAnsi="Agfa Rotis Sans Serif" w:cs="Arial"/>
          <w:sz w:val="22"/>
          <w:szCs w:val="22"/>
        </w:rPr>
        <w:softHyphen/>
        <w:t xml:space="preserve">wendet werden. Die Zuwendung ist wirtschaftlich und sparsam zu verwenden. </w:t>
      </w:r>
    </w:p>
    <w:p w14:paraId="551E27CC" w14:textId="77777777" w:rsidR="006D2FE3" w:rsidRPr="009322BE" w:rsidRDefault="006D2FE3" w:rsidP="009322BE">
      <w:pPr>
        <w:ind w:left="567" w:hanging="567"/>
        <w:jc w:val="both"/>
        <w:rPr>
          <w:rFonts w:ascii="Agfa Rotis Sans Serif" w:hAnsi="Agfa Rotis Sans Serif" w:cs="Arial"/>
          <w:sz w:val="22"/>
          <w:szCs w:val="22"/>
        </w:rPr>
      </w:pPr>
    </w:p>
    <w:p w14:paraId="551E27CD" w14:textId="77777777" w:rsidR="006D2FE3" w:rsidRPr="009322BE" w:rsidRDefault="006D2FE3" w:rsidP="009322BE">
      <w:pPr>
        <w:numPr>
          <w:ilvl w:val="0"/>
          <w:numId w:val="6"/>
        </w:numPr>
        <w:tabs>
          <w:tab w:val="clear" w:pos="360"/>
        </w:tabs>
        <w:ind w:left="567" w:hanging="567"/>
        <w:jc w:val="both"/>
        <w:rPr>
          <w:rFonts w:ascii="Agfa Rotis Sans Serif" w:hAnsi="Agfa Rotis Sans Serif" w:cs="Arial"/>
          <w:sz w:val="22"/>
          <w:szCs w:val="22"/>
        </w:rPr>
      </w:pPr>
      <w:r w:rsidRPr="009322BE">
        <w:rPr>
          <w:rFonts w:ascii="Agfa Rotis Sans Serif" w:hAnsi="Agfa Rotis Sans Serif" w:cs="Arial"/>
          <w:sz w:val="22"/>
          <w:szCs w:val="22"/>
        </w:rPr>
        <w:t xml:space="preserve">Soweit die Umsatzsteuer nach § 15 des Umsatzsteuergesetzes als Vorsteuer abziehbar ist, gehört sie nicht zu den zuwendungsfähigen Ausgaben. </w:t>
      </w:r>
    </w:p>
    <w:p w14:paraId="551E27CE" w14:textId="77777777" w:rsidR="00AB0112" w:rsidRDefault="00AB0112" w:rsidP="009322BE">
      <w:pPr>
        <w:ind w:left="567" w:hanging="567"/>
        <w:jc w:val="both"/>
        <w:rPr>
          <w:rFonts w:ascii="Agfa Rotis Sans Serif" w:hAnsi="Agfa Rotis Sans Serif"/>
          <w:sz w:val="22"/>
        </w:rPr>
      </w:pPr>
    </w:p>
    <w:p w14:paraId="551E27CF" w14:textId="77777777" w:rsidR="00901146" w:rsidRPr="009322BE" w:rsidRDefault="00901146" w:rsidP="009322BE">
      <w:pPr>
        <w:ind w:left="567" w:hanging="567"/>
        <w:jc w:val="both"/>
        <w:rPr>
          <w:rFonts w:ascii="Agfa Rotis Sans Serif" w:hAnsi="Agfa Rotis Sans Serif"/>
          <w:sz w:val="22"/>
        </w:rPr>
      </w:pPr>
    </w:p>
    <w:p w14:paraId="551E27D0" w14:textId="77777777" w:rsidR="006D2FE3" w:rsidRPr="009322BE" w:rsidRDefault="006D2FE3" w:rsidP="00901146">
      <w:pPr>
        <w:numPr>
          <w:ilvl w:val="0"/>
          <w:numId w:val="12"/>
        </w:numPr>
        <w:ind w:left="567" w:hanging="567"/>
        <w:jc w:val="both"/>
        <w:rPr>
          <w:rFonts w:ascii="Agfa Rotis Sans Serif" w:hAnsi="Agfa Rotis Sans Serif" w:cs="Arial"/>
          <w:b/>
          <w:bCs/>
          <w:sz w:val="22"/>
          <w:szCs w:val="22"/>
        </w:rPr>
      </w:pPr>
      <w:r w:rsidRPr="009322BE">
        <w:rPr>
          <w:rFonts w:ascii="Agfa Rotis Sans Serif" w:hAnsi="Agfa Rotis Sans Serif" w:cs="Arial"/>
          <w:b/>
          <w:bCs/>
          <w:sz w:val="22"/>
          <w:szCs w:val="22"/>
        </w:rPr>
        <w:t>Antragsverfahren</w:t>
      </w:r>
    </w:p>
    <w:p w14:paraId="551E27D1" w14:textId="77777777" w:rsidR="006D2FE3" w:rsidRPr="009322BE" w:rsidRDefault="006D2FE3" w:rsidP="009322BE">
      <w:pPr>
        <w:ind w:left="567" w:hanging="567"/>
        <w:jc w:val="both"/>
        <w:rPr>
          <w:rFonts w:ascii="Agfa Rotis Sans Serif" w:hAnsi="Agfa Rotis Sans Serif" w:cs="Arial"/>
          <w:sz w:val="22"/>
          <w:szCs w:val="22"/>
        </w:rPr>
      </w:pPr>
    </w:p>
    <w:p w14:paraId="551E27D2" w14:textId="77777777" w:rsidR="006D2FE3" w:rsidRPr="009322BE" w:rsidRDefault="006D2FE3" w:rsidP="00901146">
      <w:pPr>
        <w:jc w:val="both"/>
        <w:rPr>
          <w:rFonts w:ascii="Agfa Rotis Sans Serif" w:hAnsi="Agfa Rotis Sans Serif" w:cs="Arial"/>
          <w:sz w:val="22"/>
          <w:szCs w:val="22"/>
        </w:rPr>
      </w:pPr>
      <w:r w:rsidRPr="009322BE">
        <w:rPr>
          <w:rFonts w:ascii="Agfa Rotis Sans Serif" w:hAnsi="Agfa Rotis Sans Serif" w:cs="Arial"/>
          <w:sz w:val="22"/>
          <w:szCs w:val="22"/>
        </w:rPr>
        <w:t xml:space="preserve">Für die Bewilligung einer Zuwendung bedarf es grundsätzlich eines schriftlichen Antrags. Die formalen Anforderungen an den Antrag einschließlich der erforderlichen Nachweise und Unterlagen sind in den Zuwendungs-Richtlinien der IHK zu regeln. </w:t>
      </w:r>
    </w:p>
    <w:p w14:paraId="551E27D3" w14:textId="77777777" w:rsidR="006D2FE3" w:rsidRDefault="006D2FE3" w:rsidP="00901146">
      <w:pPr>
        <w:jc w:val="both"/>
        <w:rPr>
          <w:rFonts w:ascii="Agfa Rotis Sans Serif" w:hAnsi="Agfa Rotis Sans Serif" w:cs="Arial"/>
          <w:sz w:val="22"/>
          <w:szCs w:val="22"/>
        </w:rPr>
      </w:pPr>
    </w:p>
    <w:p w14:paraId="551E27D4" w14:textId="77777777" w:rsidR="00901146" w:rsidRPr="009322BE" w:rsidRDefault="00901146" w:rsidP="00901146">
      <w:pPr>
        <w:jc w:val="both"/>
        <w:rPr>
          <w:rFonts w:ascii="Agfa Rotis Sans Serif" w:hAnsi="Agfa Rotis Sans Serif" w:cs="Arial"/>
          <w:sz w:val="22"/>
          <w:szCs w:val="22"/>
        </w:rPr>
      </w:pPr>
    </w:p>
    <w:p w14:paraId="551E27D5" w14:textId="77777777" w:rsidR="006D2FE3" w:rsidRPr="009322BE" w:rsidRDefault="006D2FE3" w:rsidP="00901146">
      <w:pPr>
        <w:numPr>
          <w:ilvl w:val="0"/>
          <w:numId w:val="12"/>
        </w:numPr>
        <w:ind w:left="567" w:hanging="567"/>
        <w:jc w:val="both"/>
        <w:rPr>
          <w:rFonts w:ascii="Agfa Rotis Sans Serif" w:hAnsi="Agfa Rotis Sans Serif" w:cs="Arial"/>
          <w:b/>
          <w:bCs/>
          <w:sz w:val="22"/>
          <w:szCs w:val="22"/>
        </w:rPr>
      </w:pPr>
      <w:r w:rsidRPr="009322BE">
        <w:rPr>
          <w:rFonts w:ascii="Agfa Rotis Sans Serif" w:hAnsi="Agfa Rotis Sans Serif" w:cs="Arial"/>
          <w:b/>
          <w:bCs/>
          <w:sz w:val="22"/>
          <w:szCs w:val="22"/>
        </w:rPr>
        <w:t>Bewilligung</w:t>
      </w:r>
    </w:p>
    <w:p w14:paraId="551E27D6" w14:textId="77777777" w:rsidR="006D2FE3" w:rsidRPr="009322BE" w:rsidRDefault="006D2FE3" w:rsidP="009322BE">
      <w:pPr>
        <w:jc w:val="both"/>
        <w:rPr>
          <w:rFonts w:ascii="Agfa Rotis Sans Serif" w:hAnsi="Agfa Rotis Sans Serif" w:cs="Arial"/>
          <w:sz w:val="22"/>
          <w:szCs w:val="22"/>
        </w:rPr>
      </w:pPr>
    </w:p>
    <w:p w14:paraId="551E27D7" w14:textId="77777777" w:rsidR="006D2FE3" w:rsidRPr="009322BE" w:rsidRDefault="006D2FE3" w:rsidP="00901146">
      <w:pPr>
        <w:numPr>
          <w:ilvl w:val="0"/>
          <w:numId w:val="8"/>
        </w:numPr>
        <w:tabs>
          <w:tab w:val="clear" w:pos="360"/>
        </w:tabs>
        <w:ind w:left="567" w:hanging="567"/>
        <w:jc w:val="both"/>
        <w:rPr>
          <w:rFonts w:ascii="Agfa Rotis Sans Serif" w:hAnsi="Agfa Rotis Sans Serif" w:cs="Arial"/>
          <w:sz w:val="22"/>
          <w:szCs w:val="22"/>
        </w:rPr>
      </w:pPr>
      <w:r w:rsidRPr="009322BE">
        <w:rPr>
          <w:rFonts w:ascii="Agfa Rotis Sans Serif" w:hAnsi="Agfa Rotis Sans Serif" w:cs="Arial"/>
          <w:sz w:val="22"/>
          <w:szCs w:val="22"/>
        </w:rPr>
        <w:t>Zuwendungen werden schriftlich bewilligt. Bewilligungen erfolgen durch Zuwendungsver</w:t>
      </w:r>
      <w:r w:rsidRPr="009322BE">
        <w:rPr>
          <w:rFonts w:ascii="Agfa Rotis Sans Serif" w:hAnsi="Agfa Rotis Sans Serif" w:cs="Arial"/>
          <w:sz w:val="22"/>
          <w:szCs w:val="22"/>
        </w:rPr>
        <w:softHyphen/>
        <w:t xml:space="preserve">trag oder durch </w:t>
      </w:r>
      <w:r w:rsidRPr="000614B6">
        <w:rPr>
          <w:rFonts w:ascii="Agfa Rotis Sans Serif" w:hAnsi="Agfa Rotis Sans Serif" w:cs="Arial"/>
          <w:sz w:val="22"/>
          <w:szCs w:val="22"/>
        </w:rPr>
        <w:t>Zuwendungs</w:t>
      </w:r>
      <w:r w:rsidR="00290B81" w:rsidRPr="000614B6">
        <w:rPr>
          <w:rFonts w:ascii="Agfa Rotis Sans Serif" w:hAnsi="Agfa Rotis Sans Serif" w:cs="Arial"/>
          <w:sz w:val="22"/>
          <w:szCs w:val="22"/>
        </w:rPr>
        <w:t>bescheid</w:t>
      </w:r>
      <w:r w:rsidRPr="009322BE">
        <w:rPr>
          <w:rFonts w:ascii="Agfa Rotis Sans Serif" w:hAnsi="Agfa Rotis Sans Serif" w:cs="Arial"/>
          <w:sz w:val="22"/>
          <w:szCs w:val="22"/>
        </w:rPr>
        <w:t>; die Zuwendungs-Richtlinien der IHK sind Be</w:t>
      </w:r>
      <w:r w:rsidRPr="009322BE">
        <w:rPr>
          <w:rFonts w:ascii="Agfa Rotis Sans Serif" w:hAnsi="Agfa Rotis Sans Serif" w:cs="Arial"/>
          <w:sz w:val="22"/>
          <w:szCs w:val="22"/>
        </w:rPr>
        <w:softHyphen/>
        <w:t xml:space="preserve">standteil der Bewilligung und dieser beizufügen. </w:t>
      </w:r>
    </w:p>
    <w:p w14:paraId="551E27D8" w14:textId="77777777" w:rsidR="006D2FE3" w:rsidRPr="009322BE" w:rsidRDefault="006D2FE3" w:rsidP="00901146">
      <w:pPr>
        <w:ind w:left="567" w:hanging="567"/>
        <w:jc w:val="both"/>
        <w:rPr>
          <w:rFonts w:ascii="Agfa Rotis Sans Serif" w:hAnsi="Agfa Rotis Sans Serif" w:cs="Arial"/>
          <w:sz w:val="22"/>
          <w:szCs w:val="22"/>
        </w:rPr>
      </w:pPr>
    </w:p>
    <w:p w14:paraId="551E27D9" w14:textId="77777777" w:rsidR="006D2FE3" w:rsidRPr="009322BE" w:rsidRDefault="006D2FE3" w:rsidP="00901146">
      <w:pPr>
        <w:numPr>
          <w:ilvl w:val="0"/>
          <w:numId w:val="8"/>
        </w:numPr>
        <w:tabs>
          <w:tab w:val="clear" w:pos="360"/>
        </w:tabs>
        <w:ind w:left="567" w:hanging="567"/>
        <w:jc w:val="both"/>
        <w:rPr>
          <w:rFonts w:ascii="Agfa Rotis Sans Serif" w:hAnsi="Agfa Rotis Sans Serif" w:cs="Arial"/>
          <w:sz w:val="22"/>
          <w:szCs w:val="22"/>
        </w:rPr>
      </w:pPr>
      <w:r w:rsidRPr="009322BE">
        <w:rPr>
          <w:rFonts w:ascii="Agfa Rotis Sans Serif" w:hAnsi="Agfa Rotis Sans Serif" w:cs="Arial"/>
          <w:sz w:val="22"/>
          <w:szCs w:val="22"/>
        </w:rPr>
        <w:t>Die Bewilligung enthält insbesondere die genaue Bezeichnung des Zuwendungsemp</w:t>
      </w:r>
      <w:r w:rsidRPr="009322BE">
        <w:rPr>
          <w:rFonts w:ascii="Agfa Rotis Sans Serif" w:hAnsi="Agfa Rotis Sans Serif" w:cs="Arial"/>
          <w:sz w:val="22"/>
          <w:szCs w:val="22"/>
        </w:rPr>
        <w:softHyphen/>
        <w:t>fängers; Art und Höhe der Zuwendung und genaue Bezeichnung des Zuwendungs</w:t>
      </w:r>
      <w:r w:rsidRPr="009322BE">
        <w:rPr>
          <w:rFonts w:ascii="Agfa Rotis Sans Serif" w:hAnsi="Agfa Rotis Sans Serif" w:cs="Arial"/>
          <w:sz w:val="22"/>
          <w:szCs w:val="22"/>
        </w:rPr>
        <w:softHyphen/>
        <w:t xml:space="preserve">zwecks. Weitere Einzelheiten regeln die Zuwendungs-Richtlinien. </w:t>
      </w:r>
    </w:p>
    <w:p w14:paraId="551E27DA" w14:textId="77777777" w:rsidR="00544EA3" w:rsidRPr="009322BE" w:rsidRDefault="00544EA3" w:rsidP="00901146">
      <w:pPr>
        <w:ind w:left="567" w:hanging="567"/>
        <w:jc w:val="both"/>
        <w:rPr>
          <w:rFonts w:ascii="Agfa Rotis Sans Serif" w:hAnsi="Agfa Rotis Sans Serif" w:cs="Arial"/>
          <w:sz w:val="22"/>
          <w:szCs w:val="22"/>
        </w:rPr>
      </w:pPr>
    </w:p>
    <w:p w14:paraId="551E27DB" w14:textId="77777777" w:rsidR="006D2FE3" w:rsidRPr="009322BE" w:rsidRDefault="006D2FE3" w:rsidP="00901146">
      <w:pPr>
        <w:numPr>
          <w:ilvl w:val="0"/>
          <w:numId w:val="8"/>
        </w:numPr>
        <w:tabs>
          <w:tab w:val="clear" w:pos="360"/>
        </w:tabs>
        <w:ind w:left="567" w:hanging="567"/>
        <w:jc w:val="both"/>
        <w:rPr>
          <w:rFonts w:ascii="Agfa Rotis Sans Serif" w:hAnsi="Agfa Rotis Sans Serif" w:cs="Arial"/>
          <w:sz w:val="22"/>
          <w:szCs w:val="22"/>
        </w:rPr>
      </w:pPr>
      <w:r w:rsidRPr="009322BE">
        <w:rPr>
          <w:rFonts w:ascii="Agfa Rotis Sans Serif" w:hAnsi="Agfa Rotis Sans Serif" w:cs="Arial"/>
          <w:sz w:val="22"/>
          <w:szCs w:val="22"/>
        </w:rPr>
        <w:t>Ermäßigen sich nach der Bewilligung die in dem Finanzierungsplan veranschlagten Ausgaben, erhöhen sich die Deckungsmittel oder treten neue Deckungsmittel hinzu, so ermäßigt sich die bewilligte Zuwendung entsprechend dem Förderanteil bei Anteil</w:t>
      </w:r>
      <w:r w:rsidR="00A40AF4" w:rsidRPr="009322BE">
        <w:rPr>
          <w:rFonts w:ascii="Agfa Rotis Sans Serif" w:hAnsi="Agfa Rotis Sans Serif" w:cs="Arial"/>
          <w:sz w:val="22"/>
          <w:szCs w:val="22"/>
        </w:rPr>
        <w:t>s</w:t>
      </w:r>
      <w:r w:rsidRPr="009322BE">
        <w:rPr>
          <w:rFonts w:ascii="Agfa Rotis Sans Serif" w:hAnsi="Agfa Rotis Sans Serif" w:cs="Arial"/>
          <w:sz w:val="22"/>
          <w:szCs w:val="22"/>
        </w:rPr>
        <w:t xml:space="preserve">finanzierung oder in voller Höhe bei Fehlbedarfsfinanzierung. Bei Festbetragsfinanzierung ist § 1 Abs. 3 Satz 2 zu beachten. Wurde der Betrag schon ausgezahlt, gilt § 8 dieser Satzung. </w:t>
      </w:r>
    </w:p>
    <w:p w14:paraId="551E27DC" w14:textId="77777777" w:rsidR="00544EA3" w:rsidRDefault="00544EA3" w:rsidP="009322BE">
      <w:pPr>
        <w:jc w:val="both"/>
        <w:rPr>
          <w:rFonts w:ascii="Agfa Rotis Sans Serif" w:hAnsi="Agfa Rotis Sans Serif" w:cs="Arial"/>
          <w:sz w:val="22"/>
          <w:szCs w:val="22"/>
        </w:rPr>
      </w:pPr>
    </w:p>
    <w:p w14:paraId="551E27DD" w14:textId="77777777" w:rsidR="00901146" w:rsidRPr="009322BE" w:rsidRDefault="00901146" w:rsidP="009322BE">
      <w:pPr>
        <w:jc w:val="both"/>
        <w:rPr>
          <w:rFonts w:ascii="Agfa Rotis Sans Serif" w:hAnsi="Agfa Rotis Sans Serif" w:cs="Arial"/>
          <w:sz w:val="22"/>
          <w:szCs w:val="22"/>
        </w:rPr>
      </w:pPr>
    </w:p>
    <w:p w14:paraId="551E27DE" w14:textId="77777777" w:rsidR="006D2FE3" w:rsidRPr="009322BE" w:rsidRDefault="006D2FE3" w:rsidP="00901146">
      <w:pPr>
        <w:numPr>
          <w:ilvl w:val="0"/>
          <w:numId w:val="12"/>
        </w:numPr>
        <w:ind w:left="567" w:hanging="567"/>
        <w:jc w:val="both"/>
        <w:rPr>
          <w:rFonts w:ascii="Agfa Rotis Sans Serif" w:hAnsi="Agfa Rotis Sans Serif" w:cs="Arial"/>
          <w:b/>
          <w:bCs/>
          <w:sz w:val="22"/>
          <w:szCs w:val="22"/>
        </w:rPr>
      </w:pPr>
      <w:r w:rsidRPr="009322BE">
        <w:rPr>
          <w:rFonts w:ascii="Agfa Rotis Sans Serif" w:hAnsi="Agfa Rotis Sans Serif" w:cs="Arial"/>
          <w:b/>
          <w:bCs/>
          <w:sz w:val="22"/>
          <w:szCs w:val="22"/>
        </w:rPr>
        <w:t>Auszahlung der Zuwendung und Mittelabruf</w:t>
      </w:r>
    </w:p>
    <w:p w14:paraId="551E27DF" w14:textId="77777777" w:rsidR="00544EA3" w:rsidRPr="009322BE" w:rsidRDefault="00544EA3" w:rsidP="009322BE">
      <w:pPr>
        <w:jc w:val="both"/>
        <w:rPr>
          <w:rFonts w:ascii="Agfa Rotis Sans Serif" w:hAnsi="Agfa Rotis Sans Serif" w:cs="Arial"/>
          <w:sz w:val="22"/>
          <w:szCs w:val="22"/>
        </w:rPr>
      </w:pPr>
    </w:p>
    <w:p w14:paraId="551E27E0" w14:textId="77777777" w:rsidR="006D2FE3" w:rsidRPr="009322BE" w:rsidRDefault="006D2FE3" w:rsidP="009322BE">
      <w:pPr>
        <w:jc w:val="both"/>
        <w:rPr>
          <w:rFonts w:ascii="Agfa Rotis Sans Serif" w:hAnsi="Agfa Rotis Sans Serif" w:cs="Arial"/>
          <w:sz w:val="22"/>
          <w:szCs w:val="22"/>
        </w:rPr>
      </w:pPr>
      <w:r w:rsidRPr="009322BE">
        <w:rPr>
          <w:rFonts w:ascii="Agfa Rotis Sans Serif" w:hAnsi="Agfa Rotis Sans Serif" w:cs="Arial"/>
          <w:sz w:val="22"/>
          <w:szCs w:val="22"/>
        </w:rPr>
        <w:t>Die Zuwendung soll im engen zeitlichen Zusammenhang mit der genehmigten Förde</w:t>
      </w:r>
      <w:r w:rsidRPr="009322BE">
        <w:rPr>
          <w:rFonts w:ascii="Agfa Rotis Sans Serif" w:hAnsi="Agfa Rotis Sans Serif" w:cs="Arial"/>
          <w:sz w:val="22"/>
          <w:szCs w:val="22"/>
        </w:rPr>
        <w:softHyphen/>
        <w:t>rung stehen. Die Zuwendung darf durch den in der Bewilligung benannten Zuwen</w:t>
      </w:r>
      <w:r w:rsidRPr="009322BE">
        <w:rPr>
          <w:rFonts w:ascii="Agfa Rotis Sans Serif" w:hAnsi="Agfa Rotis Sans Serif" w:cs="Arial"/>
          <w:sz w:val="22"/>
          <w:szCs w:val="22"/>
        </w:rPr>
        <w:softHyphen/>
        <w:t xml:space="preserve">dungsempfänger nur insoweit und nicht eher angefordert werden, als sie für fällige Zahlungen benötigt wird. </w:t>
      </w:r>
    </w:p>
    <w:p w14:paraId="551E27E1" w14:textId="77777777" w:rsidR="00544EA3" w:rsidRDefault="00544EA3" w:rsidP="009322BE">
      <w:pPr>
        <w:ind w:left="357" w:hanging="357"/>
        <w:jc w:val="both"/>
        <w:rPr>
          <w:rFonts w:ascii="Agfa Rotis Sans Serif" w:hAnsi="Agfa Rotis Sans Serif" w:cs="Arial"/>
          <w:sz w:val="22"/>
          <w:szCs w:val="22"/>
        </w:rPr>
      </w:pPr>
    </w:p>
    <w:p w14:paraId="551E27E2" w14:textId="77777777" w:rsidR="00901146" w:rsidRPr="009322BE" w:rsidRDefault="00901146" w:rsidP="009322BE">
      <w:pPr>
        <w:ind w:left="357" w:hanging="357"/>
        <w:jc w:val="both"/>
        <w:rPr>
          <w:rFonts w:ascii="Agfa Rotis Sans Serif" w:hAnsi="Agfa Rotis Sans Serif" w:cs="Arial"/>
          <w:sz w:val="22"/>
          <w:szCs w:val="22"/>
        </w:rPr>
      </w:pPr>
    </w:p>
    <w:p w14:paraId="551E27E3" w14:textId="77777777" w:rsidR="006D2FE3" w:rsidRPr="009322BE" w:rsidRDefault="006D2FE3" w:rsidP="00901146">
      <w:pPr>
        <w:numPr>
          <w:ilvl w:val="0"/>
          <w:numId w:val="12"/>
        </w:numPr>
        <w:ind w:left="567" w:hanging="567"/>
        <w:jc w:val="both"/>
        <w:rPr>
          <w:rFonts w:ascii="Agfa Rotis Sans Serif" w:hAnsi="Agfa Rotis Sans Serif" w:cs="Arial"/>
          <w:b/>
          <w:bCs/>
          <w:sz w:val="22"/>
          <w:szCs w:val="22"/>
        </w:rPr>
      </w:pPr>
      <w:r w:rsidRPr="009322BE">
        <w:rPr>
          <w:rFonts w:ascii="Agfa Rotis Sans Serif" w:hAnsi="Agfa Rotis Sans Serif" w:cs="Arial"/>
          <w:b/>
          <w:bCs/>
          <w:sz w:val="22"/>
          <w:szCs w:val="22"/>
        </w:rPr>
        <w:t>Überwachung und Nachweis der Verwendung</w:t>
      </w:r>
    </w:p>
    <w:p w14:paraId="551E27E4" w14:textId="77777777" w:rsidR="00544EA3" w:rsidRPr="009322BE" w:rsidRDefault="00544EA3" w:rsidP="009322BE">
      <w:pPr>
        <w:jc w:val="both"/>
        <w:rPr>
          <w:rFonts w:ascii="Agfa Rotis Sans Serif" w:hAnsi="Agfa Rotis Sans Serif" w:cs="Arial"/>
          <w:sz w:val="22"/>
          <w:szCs w:val="22"/>
        </w:rPr>
      </w:pPr>
    </w:p>
    <w:p w14:paraId="551E27E5" w14:textId="77777777" w:rsidR="006D2FE3" w:rsidRPr="009322BE" w:rsidRDefault="006D2FE3" w:rsidP="009322BE">
      <w:pPr>
        <w:jc w:val="both"/>
        <w:rPr>
          <w:rFonts w:ascii="Agfa Rotis Sans Serif" w:hAnsi="Agfa Rotis Sans Serif" w:cs="Arial"/>
          <w:sz w:val="22"/>
          <w:szCs w:val="22"/>
        </w:rPr>
      </w:pPr>
      <w:r w:rsidRPr="009322BE">
        <w:rPr>
          <w:rFonts w:ascii="Agfa Rotis Sans Serif" w:hAnsi="Agfa Rotis Sans Serif" w:cs="Arial"/>
          <w:sz w:val="22"/>
          <w:szCs w:val="22"/>
        </w:rPr>
        <w:t>Der Zuwendungsempfänger hat der IHK eine antragsgemäße Mittelverwendung ent</w:t>
      </w:r>
      <w:r w:rsidRPr="009322BE">
        <w:rPr>
          <w:rFonts w:ascii="Agfa Rotis Sans Serif" w:hAnsi="Agfa Rotis Sans Serif" w:cs="Arial"/>
          <w:sz w:val="22"/>
          <w:szCs w:val="22"/>
        </w:rPr>
        <w:softHyphen/>
        <w:t>sprechend der Bewilligung innerhalb von sechs Monaten nach Erfüllung des Zuwendungszwecks, spätestens mit Ablauf des sechsten auf den Bewilligungszeitraum folgenden Monats nachzuweisen. Die formalen Anforderungen an den Verwen</w:t>
      </w:r>
      <w:r w:rsidRPr="009322BE">
        <w:rPr>
          <w:rFonts w:ascii="Agfa Rotis Sans Serif" w:hAnsi="Agfa Rotis Sans Serif" w:cs="Arial"/>
          <w:sz w:val="22"/>
          <w:szCs w:val="22"/>
        </w:rPr>
        <w:softHyphen/>
        <w:t>dungsnachweis des Zuwendungsempfängers sowi</w:t>
      </w:r>
      <w:r w:rsidR="001D546C">
        <w:rPr>
          <w:rFonts w:ascii="Agfa Rotis Sans Serif" w:hAnsi="Agfa Rotis Sans Serif" w:cs="Arial"/>
          <w:sz w:val="22"/>
          <w:szCs w:val="22"/>
        </w:rPr>
        <w:t>e die Überwachungs- und Dokumen</w:t>
      </w:r>
      <w:r w:rsidRPr="009322BE">
        <w:rPr>
          <w:rFonts w:ascii="Agfa Rotis Sans Serif" w:hAnsi="Agfa Rotis Sans Serif" w:cs="Arial"/>
          <w:sz w:val="22"/>
          <w:szCs w:val="22"/>
        </w:rPr>
        <w:t>tationspflichten der IHK sind in den Zuwendu</w:t>
      </w:r>
      <w:r w:rsidR="001D546C">
        <w:rPr>
          <w:rFonts w:ascii="Agfa Rotis Sans Serif" w:hAnsi="Agfa Rotis Sans Serif" w:cs="Arial"/>
          <w:sz w:val="22"/>
          <w:szCs w:val="22"/>
        </w:rPr>
        <w:t>ngs-Richtlinien zu regeln.</w:t>
      </w:r>
    </w:p>
    <w:p w14:paraId="551E27E6" w14:textId="77777777" w:rsidR="00544EA3" w:rsidRDefault="00544EA3" w:rsidP="009322BE">
      <w:pPr>
        <w:jc w:val="both"/>
        <w:rPr>
          <w:rFonts w:ascii="Agfa Rotis Sans Serif" w:hAnsi="Agfa Rotis Sans Serif" w:cs="Arial"/>
          <w:sz w:val="22"/>
          <w:szCs w:val="22"/>
        </w:rPr>
      </w:pPr>
    </w:p>
    <w:p w14:paraId="551E27E7" w14:textId="77777777" w:rsidR="00901146" w:rsidRPr="009322BE" w:rsidRDefault="00901146" w:rsidP="009322BE">
      <w:pPr>
        <w:jc w:val="both"/>
        <w:rPr>
          <w:rFonts w:ascii="Agfa Rotis Sans Serif" w:hAnsi="Agfa Rotis Sans Serif" w:cs="Arial"/>
          <w:sz w:val="22"/>
          <w:szCs w:val="22"/>
        </w:rPr>
      </w:pPr>
    </w:p>
    <w:p w14:paraId="551E27E8" w14:textId="77777777" w:rsidR="006D2FE3" w:rsidRPr="009322BE" w:rsidRDefault="006D2FE3" w:rsidP="004C43EB">
      <w:pPr>
        <w:keepNext/>
        <w:numPr>
          <w:ilvl w:val="0"/>
          <w:numId w:val="12"/>
        </w:numPr>
        <w:ind w:left="567" w:hanging="567"/>
        <w:jc w:val="both"/>
        <w:rPr>
          <w:rFonts w:ascii="Agfa Rotis Sans Serif" w:hAnsi="Agfa Rotis Sans Serif" w:cs="Arial"/>
          <w:b/>
          <w:bCs/>
          <w:sz w:val="22"/>
          <w:szCs w:val="22"/>
        </w:rPr>
      </w:pPr>
      <w:r w:rsidRPr="009322BE">
        <w:rPr>
          <w:rFonts w:ascii="Agfa Rotis Sans Serif" w:hAnsi="Agfa Rotis Sans Serif" w:cs="Arial"/>
          <w:b/>
          <w:bCs/>
          <w:sz w:val="22"/>
          <w:szCs w:val="22"/>
        </w:rPr>
        <w:lastRenderedPageBreak/>
        <w:t>Fälle von geringer finanzieller Bedeutung</w:t>
      </w:r>
    </w:p>
    <w:p w14:paraId="551E27E9" w14:textId="77777777" w:rsidR="00544EA3" w:rsidRPr="009322BE" w:rsidRDefault="00544EA3" w:rsidP="004C43EB">
      <w:pPr>
        <w:keepNext/>
        <w:jc w:val="both"/>
        <w:rPr>
          <w:rFonts w:ascii="Agfa Rotis Sans Serif" w:hAnsi="Agfa Rotis Sans Serif" w:cs="Arial"/>
          <w:sz w:val="22"/>
          <w:szCs w:val="22"/>
        </w:rPr>
      </w:pPr>
    </w:p>
    <w:p w14:paraId="551E27EA" w14:textId="77777777" w:rsidR="006D2FE3" w:rsidRDefault="006D2FE3" w:rsidP="004C43EB">
      <w:pPr>
        <w:keepNext/>
        <w:jc w:val="both"/>
        <w:rPr>
          <w:rFonts w:ascii="Agfa Rotis Sans Serif" w:hAnsi="Agfa Rotis Sans Serif" w:cs="Arial"/>
          <w:sz w:val="22"/>
          <w:szCs w:val="22"/>
        </w:rPr>
      </w:pPr>
      <w:r w:rsidRPr="009322BE">
        <w:rPr>
          <w:rFonts w:ascii="Agfa Rotis Sans Serif" w:hAnsi="Agfa Rotis Sans Serif" w:cs="Arial"/>
          <w:sz w:val="22"/>
          <w:szCs w:val="22"/>
        </w:rPr>
        <w:t>In Fällen von geringer finanzieller Bedeutung kann die IHK in den Zuwendungs-Richtlinien Verfahrenserleichterungen für das Antragsverfahren und für den Nachweis der Mittelverwendung zulassen. Ein Fall von geringer finanzieller Bedeutung ist in der Regel anzunehmen, wenn der Gesamtbetrag der Zuwendung bei institutioneller Förde</w:t>
      </w:r>
      <w:r w:rsidRPr="009322BE">
        <w:rPr>
          <w:rFonts w:ascii="Agfa Rotis Sans Serif" w:hAnsi="Agfa Rotis Sans Serif" w:cs="Arial"/>
          <w:sz w:val="22"/>
          <w:szCs w:val="22"/>
        </w:rPr>
        <w:softHyphen/>
        <w:t>rung für ein Wirtschaftsjahr oder bei einer Projektförderung pro Jahr und Zuwendungs</w:t>
      </w:r>
      <w:r w:rsidRPr="009322BE">
        <w:rPr>
          <w:rFonts w:ascii="Agfa Rotis Sans Serif" w:hAnsi="Agfa Rotis Sans Serif" w:cs="Arial"/>
          <w:sz w:val="22"/>
          <w:szCs w:val="22"/>
        </w:rPr>
        <w:softHyphen/>
        <w:t>empfänger insgesamt nich</w:t>
      </w:r>
      <w:r w:rsidR="00901146">
        <w:rPr>
          <w:rFonts w:ascii="Agfa Rotis Sans Serif" w:hAnsi="Agfa Rotis Sans Serif" w:cs="Arial"/>
          <w:sz w:val="22"/>
          <w:szCs w:val="22"/>
        </w:rPr>
        <w:t>t mehr als 10.000 Euro beträgt.</w:t>
      </w:r>
    </w:p>
    <w:p w14:paraId="551E27EB" w14:textId="77777777" w:rsidR="00901146" w:rsidRDefault="00901146" w:rsidP="009322BE">
      <w:pPr>
        <w:jc w:val="both"/>
        <w:rPr>
          <w:rFonts w:ascii="Agfa Rotis Sans Serif" w:hAnsi="Agfa Rotis Sans Serif" w:cs="Arial"/>
          <w:sz w:val="22"/>
          <w:szCs w:val="22"/>
        </w:rPr>
      </w:pPr>
    </w:p>
    <w:p w14:paraId="551E27EC" w14:textId="77777777" w:rsidR="00901146" w:rsidRPr="009322BE" w:rsidRDefault="00901146" w:rsidP="009322BE">
      <w:pPr>
        <w:jc w:val="both"/>
        <w:rPr>
          <w:rFonts w:ascii="Agfa Rotis Sans Serif" w:hAnsi="Agfa Rotis Sans Serif" w:cs="Arial"/>
          <w:sz w:val="22"/>
          <w:szCs w:val="22"/>
        </w:rPr>
      </w:pPr>
    </w:p>
    <w:p w14:paraId="551E27ED" w14:textId="77777777" w:rsidR="006D2FE3" w:rsidRPr="009322BE" w:rsidRDefault="006D2FE3" w:rsidP="00901146">
      <w:pPr>
        <w:numPr>
          <w:ilvl w:val="0"/>
          <w:numId w:val="12"/>
        </w:numPr>
        <w:ind w:left="567" w:hanging="567"/>
        <w:jc w:val="both"/>
        <w:rPr>
          <w:rFonts w:ascii="Agfa Rotis Sans Serif" w:hAnsi="Agfa Rotis Sans Serif" w:cs="Arial"/>
          <w:b/>
          <w:bCs/>
          <w:sz w:val="22"/>
          <w:szCs w:val="22"/>
        </w:rPr>
      </w:pPr>
      <w:r w:rsidRPr="009322BE">
        <w:rPr>
          <w:rFonts w:ascii="Agfa Rotis Sans Serif" w:hAnsi="Agfa Rotis Sans Serif" w:cs="Arial"/>
          <w:b/>
          <w:bCs/>
          <w:sz w:val="22"/>
          <w:szCs w:val="22"/>
        </w:rPr>
        <w:t>Rückforderung der bewilligten Zuwendung</w:t>
      </w:r>
    </w:p>
    <w:p w14:paraId="551E27EE" w14:textId="77777777" w:rsidR="00544EA3" w:rsidRPr="009322BE" w:rsidRDefault="00544EA3" w:rsidP="009322BE">
      <w:pPr>
        <w:jc w:val="both"/>
        <w:rPr>
          <w:rFonts w:ascii="Agfa Rotis Sans Serif" w:hAnsi="Agfa Rotis Sans Serif" w:cs="Arial"/>
          <w:sz w:val="22"/>
          <w:szCs w:val="22"/>
        </w:rPr>
      </w:pPr>
    </w:p>
    <w:p w14:paraId="551E27EF" w14:textId="77777777" w:rsidR="006D2FE3" w:rsidRDefault="006D2FE3" w:rsidP="00901146">
      <w:pPr>
        <w:numPr>
          <w:ilvl w:val="0"/>
          <w:numId w:val="10"/>
        </w:numPr>
        <w:tabs>
          <w:tab w:val="clear" w:pos="360"/>
        </w:tabs>
        <w:ind w:left="567" w:hanging="567"/>
        <w:jc w:val="both"/>
        <w:rPr>
          <w:rFonts w:ascii="Agfa Rotis Sans Serif" w:hAnsi="Agfa Rotis Sans Serif" w:cs="Arial"/>
          <w:sz w:val="22"/>
          <w:szCs w:val="22"/>
        </w:rPr>
      </w:pPr>
      <w:r w:rsidRPr="009322BE">
        <w:rPr>
          <w:rFonts w:ascii="Agfa Rotis Sans Serif" w:hAnsi="Agfa Rotis Sans Serif" w:cs="Arial"/>
          <w:sz w:val="22"/>
          <w:szCs w:val="22"/>
        </w:rPr>
        <w:t xml:space="preserve">Die bewilligte und ggf. bereits ausgezahlte Zuwendung  soll von der IHK nach Maßgabe der Zuwendungs-Richtlinien ganz oder teilweise ex </w:t>
      </w:r>
      <w:proofErr w:type="spellStart"/>
      <w:r w:rsidRPr="009322BE">
        <w:rPr>
          <w:rFonts w:ascii="Agfa Rotis Sans Serif" w:hAnsi="Agfa Rotis Sans Serif" w:cs="Arial"/>
          <w:sz w:val="22"/>
          <w:szCs w:val="22"/>
        </w:rPr>
        <w:t>tunc</w:t>
      </w:r>
      <w:proofErr w:type="spellEnd"/>
      <w:r w:rsidRPr="009322BE">
        <w:rPr>
          <w:rFonts w:ascii="Agfa Rotis Sans Serif" w:hAnsi="Agfa Rotis Sans Serif" w:cs="Arial"/>
          <w:sz w:val="22"/>
          <w:szCs w:val="22"/>
        </w:rPr>
        <w:t xml:space="preserve"> zurückgefordert werden, insbe</w:t>
      </w:r>
      <w:r w:rsidR="00901146">
        <w:rPr>
          <w:rFonts w:ascii="Agfa Rotis Sans Serif" w:hAnsi="Agfa Rotis Sans Serif" w:cs="Arial"/>
          <w:sz w:val="22"/>
          <w:szCs w:val="22"/>
        </w:rPr>
        <w:t>sondere wenn</w:t>
      </w:r>
    </w:p>
    <w:p w14:paraId="551E27F0" w14:textId="77777777" w:rsidR="00901146" w:rsidRPr="009322BE" w:rsidRDefault="00901146" w:rsidP="00901146">
      <w:pPr>
        <w:jc w:val="both"/>
        <w:rPr>
          <w:rFonts w:ascii="Agfa Rotis Sans Serif" w:hAnsi="Agfa Rotis Sans Serif" w:cs="Arial"/>
          <w:sz w:val="22"/>
          <w:szCs w:val="22"/>
        </w:rPr>
      </w:pPr>
    </w:p>
    <w:p w14:paraId="551E27F1" w14:textId="77777777" w:rsidR="006D2FE3" w:rsidRPr="009322BE" w:rsidRDefault="006D2FE3" w:rsidP="00901146">
      <w:pPr>
        <w:numPr>
          <w:ilvl w:val="2"/>
          <w:numId w:val="9"/>
        </w:numPr>
        <w:tabs>
          <w:tab w:val="clear" w:pos="360"/>
        </w:tabs>
        <w:ind w:left="993" w:hanging="284"/>
        <w:jc w:val="both"/>
        <w:rPr>
          <w:rFonts w:ascii="Agfa Rotis Sans Serif" w:hAnsi="Agfa Rotis Sans Serif" w:cs="Arial"/>
          <w:sz w:val="22"/>
          <w:szCs w:val="22"/>
        </w:rPr>
      </w:pPr>
      <w:r w:rsidRPr="009322BE">
        <w:rPr>
          <w:rFonts w:ascii="Agfa Rotis Sans Serif" w:hAnsi="Agfa Rotis Sans Serif" w:cs="Arial"/>
          <w:sz w:val="22"/>
          <w:szCs w:val="22"/>
        </w:rPr>
        <w:t xml:space="preserve">die Zuwendung durch unrichtige oder unvollständige Angaben erwirkt worden ist;  </w:t>
      </w:r>
    </w:p>
    <w:p w14:paraId="551E27F2" w14:textId="77777777" w:rsidR="006D2FE3" w:rsidRPr="009322BE" w:rsidRDefault="006D2FE3" w:rsidP="00901146">
      <w:pPr>
        <w:numPr>
          <w:ilvl w:val="2"/>
          <w:numId w:val="9"/>
        </w:numPr>
        <w:tabs>
          <w:tab w:val="clear" w:pos="360"/>
        </w:tabs>
        <w:ind w:left="993" w:hanging="284"/>
        <w:jc w:val="both"/>
        <w:rPr>
          <w:rFonts w:ascii="Agfa Rotis Sans Serif" w:hAnsi="Agfa Rotis Sans Serif" w:cs="Arial"/>
          <w:sz w:val="22"/>
          <w:szCs w:val="22"/>
        </w:rPr>
      </w:pPr>
      <w:r w:rsidRPr="009322BE">
        <w:rPr>
          <w:rFonts w:ascii="Agfa Rotis Sans Serif" w:hAnsi="Agfa Rotis Sans Serif" w:cs="Arial"/>
          <w:sz w:val="22"/>
          <w:szCs w:val="22"/>
        </w:rPr>
        <w:t xml:space="preserve">die Zuwendung nicht oder nicht mehr für den vorgesehenen Zweck verwendet wird; </w:t>
      </w:r>
    </w:p>
    <w:p w14:paraId="551E27F3" w14:textId="77777777" w:rsidR="006D2FE3" w:rsidRPr="009322BE" w:rsidRDefault="006D2FE3" w:rsidP="00901146">
      <w:pPr>
        <w:numPr>
          <w:ilvl w:val="2"/>
          <w:numId w:val="9"/>
        </w:numPr>
        <w:tabs>
          <w:tab w:val="clear" w:pos="360"/>
        </w:tabs>
        <w:ind w:left="993" w:hanging="284"/>
        <w:jc w:val="both"/>
        <w:rPr>
          <w:rFonts w:ascii="Agfa Rotis Sans Serif" w:hAnsi="Agfa Rotis Sans Serif" w:cs="Arial"/>
          <w:sz w:val="22"/>
          <w:szCs w:val="22"/>
        </w:rPr>
      </w:pPr>
      <w:r w:rsidRPr="009322BE">
        <w:rPr>
          <w:rFonts w:ascii="Agfa Rotis Sans Serif" w:hAnsi="Agfa Rotis Sans Serif" w:cs="Arial"/>
          <w:sz w:val="22"/>
          <w:szCs w:val="22"/>
        </w:rPr>
        <w:t>in der Bewilligung definierte (auflösende) Bedingungen (z. B. nachträgliche Er</w:t>
      </w:r>
      <w:r w:rsidRPr="009322BE">
        <w:rPr>
          <w:rFonts w:ascii="Agfa Rotis Sans Serif" w:hAnsi="Agfa Rotis Sans Serif" w:cs="Arial"/>
          <w:sz w:val="22"/>
          <w:szCs w:val="22"/>
        </w:rPr>
        <w:softHyphen/>
        <w:t xml:space="preserve">mäßigung der Ausgaben oder Änderung der Finanzierung) eingetreten sind; </w:t>
      </w:r>
    </w:p>
    <w:p w14:paraId="551E27F4" w14:textId="77777777" w:rsidR="006D2FE3" w:rsidRPr="009322BE" w:rsidRDefault="006D2FE3" w:rsidP="00901146">
      <w:pPr>
        <w:numPr>
          <w:ilvl w:val="2"/>
          <w:numId w:val="9"/>
        </w:numPr>
        <w:tabs>
          <w:tab w:val="clear" w:pos="360"/>
        </w:tabs>
        <w:ind w:left="993" w:hanging="284"/>
        <w:jc w:val="both"/>
        <w:rPr>
          <w:rFonts w:ascii="Agfa Rotis Sans Serif" w:hAnsi="Agfa Rotis Sans Serif" w:cs="Arial"/>
          <w:sz w:val="22"/>
          <w:szCs w:val="22"/>
        </w:rPr>
      </w:pPr>
      <w:r w:rsidRPr="009322BE">
        <w:rPr>
          <w:rFonts w:ascii="Agfa Rotis Sans Serif" w:hAnsi="Agfa Rotis Sans Serif" w:cs="Arial"/>
          <w:sz w:val="22"/>
          <w:szCs w:val="22"/>
        </w:rPr>
        <w:t>die Zuwendung nicht alsbald nach Auszahlung zur Erfüllung des Zuwendungs</w:t>
      </w:r>
      <w:r w:rsidRPr="009322BE">
        <w:rPr>
          <w:rFonts w:ascii="Agfa Rotis Sans Serif" w:hAnsi="Agfa Rotis Sans Serif" w:cs="Arial"/>
          <w:sz w:val="22"/>
          <w:szCs w:val="22"/>
        </w:rPr>
        <w:softHyphen/>
        <w:t xml:space="preserve">zwecks verwendet wird oder </w:t>
      </w:r>
    </w:p>
    <w:p w14:paraId="551E27F5" w14:textId="77777777" w:rsidR="006D2FE3" w:rsidRPr="009322BE" w:rsidRDefault="006D2FE3" w:rsidP="00901146">
      <w:pPr>
        <w:numPr>
          <w:ilvl w:val="2"/>
          <w:numId w:val="9"/>
        </w:numPr>
        <w:tabs>
          <w:tab w:val="clear" w:pos="360"/>
        </w:tabs>
        <w:ind w:left="993" w:hanging="284"/>
        <w:jc w:val="both"/>
        <w:rPr>
          <w:rFonts w:ascii="Agfa Rotis Sans Serif" w:hAnsi="Agfa Rotis Sans Serif" w:cs="Arial"/>
          <w:sz w:val="22"/>
          <w:szCs w:val="22"/>
        </w:rPr>
      </w:pPr>
      <w:r w:rsidRPr="009322BE">
        <w:rPr>
          <w:rFonts w:ascii="Agfa Rotis Sans Serif" w:hAnsi="Agfa Rotis Sans Serif" w:cs="Arial"/>
          <w:sz w:val="22"/>
          <w:szCs w:val="22"/>
        </w:rPr>
        <w:t xml:space="preserve">Auflagen nicht oder nicht innerhalb einer gesetzten Frist erfüllt wurden.   </w:t>
      </w:r>
      <w:r w:rsidRPr="009322BE">
        <w:rPr>
          <w:rFonts w:ascii="Agfa Rotis Sans Serif" w:hAnsi="Agfa Rotis Sans Serif" w:cs="Arial"/>
          <w:sz w:val="22"/>
          <w:szCs w:val="22"/>
        </w:rPr>
        <w:br/>
      </w:r>
    </w:p>
    <w:p w14:paraId="551E27F6" w14:textId="77777777" w:rsidR="006D2FE3" w:rsidRPr="009322BE" w:rsidRDefault="006D2FE3" w:rsidP="00901146">
      <w:pPr>
        <w:numPr>
          <w:ilvl w:val="0"/>
          <w:numId w:val="10"/>
        </w:numPr>
        <w:tabs>
          <w:tab w:val="clear" w:pos="360"/>
        </w:tabs>
        <w:ind w:left="567" w:hanging="567"/>
        <w:jc w:val="both"/>
        <w:rPr>
          <w:rFonts w:ascii="Agfa Rotis Sans Serif" w:hAnsi="Agfa Rotis Sans Serif" w:cs="Arial"/>
          <w:sz w:val="22"/>
          <w:szCs w:val="22"/>
        </w:rPr>
      </w:pPr>
      <w:r w:rsidRPr="009322BE">
        <w:rPr>
          <w:rFonts w:ascii="Agfa Rotis Sans Serif" w:hAnsi="Agfa Rotis Sans Serif" w:cs="Arial"/>
          <w:sz w:val="22"/>
          <w:szCs w:val="22"/>
        </w:rPr>
        <w:t>Die Rückforderung bedarf der Schriftform. Sie erfolgt durch Bescheid, im Falle der Bewilligung der Zuwendung in einem Vertrag zusammen mit der Kündigung des Zuwendungsvertrages. Bei einer Zuwen</w:t>
      </w:r>
      <w:r w:rsidRPr="009322BE">
        <w:rPr>
          <w:rFonts w:ascii="Agfa Rotis Sans Serif" w:hAnsi="Agfa Rotis Sans Serif" w:cs="Arial"/>
          <w:sz w:val="22"/>
          <w:szCs w:val="22"/>
        </w:rPr>
        <w:softHyphen/>
        <w:t xml:space="preserve">dung, die in mehreren Teilbeträgen für ein Gesamtvorhaben ausbezahlt wird, kann die gesamte Zuwendung zurückgefordert werden.  </w:t>
      </w:r>
    </w:p>
    <w:p w14:paraId="551E27F7" w14:textId="77777777" w:rsidR="00544EA3" w:rsidRPr="009322BE" w:rsidRDefault="00544EA3" w:rsidP="00901146">
      <w:pPr>
        <w:ind w:left="567" w:hanging="567"/>
        <w:jc w:val="both"/>
        <w:rPr>
          <w:rFonts w:ascii="Agfa Rotis Sans Serif" w:hAnsi="Agfa Rotis Sans Serif" w:cs="Arial"/>
          <w:sz w:val="22"/>
          <w:szCs w:val="22"/>
        </w:rPr>
      </w:pPr>
    </w:p>
    <w:p w14:paraId="551E27F8" w14:textId="77777777" w:rsidR="006D2FE3" w:rsidRPr="009322BE" w:rsidRDefault="006D2FE3" w:rsidP="00901146">
      <w:pPr>
        <w:numPr>
          <w:ilvl w:val="0"/>
          <w:numId w:val="10"/>
        </w:numPr>
        <w:tabs>
          <w:tab w:val="clear" w:pos="360"/>
        </w:tabs>
        <w:ind w:left="567" w:hanging="567"/>
        <w:jc w:val="both"/>
        <w:rPr>
          <w:rFonts w:ascii="Agfa Rotis Sans Serif" w:hAnsi="Agfa Rotis Sans Serif" w:cs="Arial"/>
          <w:sz w:val="22"/>
          <w:szCs w:val="22"/>
        </w:rPr>
      </w:pPr>
      <w:r w:rsidRPr="009322BE">
        <w:rPr>
          <w:rFonts w:ascii="Agfa Rotis Sans Serif" w:hAnsi="Agfa Rotis Sans Serif" w:cs="Arial"/>
          <w:sz w:val="22"/>
          <w:szCs w:val="22"/>
        </w:rPr>
        <w:t>Im Falle der Rückforderung einer Zuwendung unterliegt diese der Verzinsung ab Emp</w:t>
      </w:r>
      <w:r w:rsidRPr="009322BE">
        <w:rPr>
          <w:rFonts w:ascii="Agfa Rotis Sans Serif" w:hAnsi="Agfa Rotis Sans Serif" w:cs="Arial"/>
          <w:sz w:val="22"/>
          <w:szCs w:val="22"/>
        </w:rPr>
        <w:softHyphen/>
        <w:t>fang der Zuwendung und ist vom Zuwendungsempfänger der IHK zu erstatten. Der Er</w:t>
      </w:r>
      <w:r w:rsidRPr="009322BE">
        <w:rPr>
          <w:rFonts w:ascii="Agfa Rotis Sans Serif" w:hAnsi="Agfa Rotis Sans Serif" w:cs="Arial"/>
          <w:sz w:val="22"/>
          <w:szCs w:val="22"/>
        </w:rPr>
        <w:softHyphen/>
        <w:t>stattungsanspruch ist mit 5 Prozent/Jahr über dem Basiszinssatz zu verzinsen. In be</w:t>
      </w:r>
      <w:r w:rsidRPr="009322BE">
        <w:rPr>
          <w:rFonts w:ascii="Agfa Rotis Sans Serif" w:hAnsi="Agfa Rotis Sans Serif" w:cs="Arial"/>
          <w:sz w:val="22"/>
          <w:szCs w:val="22"/>
        </w:rPr>
        <w:softHyphen/>
        <w:t xml:space="preserve">gründeten Fällen kann von der Verzinsung ganz oder teilweise abgesehen werden. </w:t>
      </w:r>
    </w:p>
    <w:p w14:paraId="551E27F9" w14:textId="77777777" w:rsidR="00544EA3" w:rsidRPr="009322BE" w:rsidRDefault="00544EA3" w:rsidP="00901146">
      <w:pPr>
        <w:ind w:left="567" w:hanging="567"/>
        <w:jc w:val="both"/>
        <w:rPr>
          <w:rFonts w:ascii="Agfa Rotis Sans Serif" w:hAnsi="Agfa Rotis Sans Serif" w:cs="Arial"/>
          <w:sz w:val="22"/>
          <w:szCs w:val="22"/>
        </w:rPr>
      </w:pPr>
    </w:p>
    <w:p w14:paraId="551E27FA" w14:textId="77777777" w:rsidR="006D2FE3" w:rsidRPr="009322BE" w:rsidRDefault="006D2FE3" w:rsidP="00901146">
      <w:pPr>
        <w:numPr>
          <w:ilvl w:val="0"/>
          <w:numId w:val="10"/>
        </w:numPr>
        <w:tabs>
          <w:tab w:val="clear" w:pos="360"/>
        </w:tabs>
        <w:ind w:left="567" w:hanging="567"/>
        <w:jc w:val="both"/>
        <w:rPr>
          <w:rFonts w:ascii="Agfa Rotis Sans Serif" w:hAnsi="Agfa Rotis Sans Serif" w:cs="Arial"/>
          <w:sz w:val="22"/>
          <w:szCs w:val="22"/>
        </w:rPr>
      </w:pPr>
      <w:r w:rsidRPr="009322BE">
        <w:rPr>
          <w:rFonts w:ascii="Agfa Rotis Sans Serif" w:hAnsi="Agfa Rotis Sans Serif" w:cs="Arial"/>
          <w:sz w:val="22"/>
          <w:szCs w:val="22"/>
        </w:rPr>
        <w:t>Bei vorzeitiger Inanspruchnahme der Zuwendung gilt die Verzinsungsregelung gemäß Absatz 3 entsprechend ab Auszahlung.</w:t>
      </w:r>
    </w:p>
    <w:p w14:paraId="551E27FB" w14:textId="77777777" w:rsidR="00544EA3" w:rsidRDefault="00544EA3" w:rsidP="009322BE">
      <w:pPr>
        <w:jc w:val="both"/>
        <w:rPr>
          <w:rFonts w:ascii="Agfa Rotis Sans Serif" w:hAnsi="Agfa Rotis Sans Serif" w:cs="Arial"/>
          <w:sz w:val="22"/>
          <w:szCs w:val="22"/>
        </w:rPr>
      </w:pPr>
    </w:p>
    <w:p w14:paraId="551E27FC" w14:textId="77777777" w:rsidR="00901146" w:rsidRPr="009322BE" w:rsidRDefault="00901146" w:rsidP="009322BE">
      <w:pPr>
        <w:jc w:val="both"/>
        <w:rPr>
          <w:rFonts w:ascii="Agfa Rotis Sans Serif" w:hAnsi="Agfa Rotis Sans Serif" w:cs="Arial"/>
          <w:sz w:val="22"/>
          <w:szCs w:val="22"/>
        </w:rPr>
      </w:pPr>
    </w:p>
    <w:p w14:paraId="551E27FD" w14:textId="77777777" w:rsidR="006D2FE3" w:rsidRPr="009322BE" w:rsidRDefault="006D2FE3" w:rsidP="00901146">
      <w:pPr>
        <w:numPr>
          <w:ilvl w:val="0"/>
          <w:numId w:val="12"/>
        </w:numPr>
        <w:ind w:left="567" w:hanging="567"/>
        <w:jc w:val="both"/>
        <w:rPr>
          <w:rFonts w:ascii="Agfa Rotis Sans Serif" w:hAnsi="Agfa Rotis Sans Serif" w:cs="Arial"/>
          <w:b/>
          <w:bCs/>
          <w:sz w:val="22"/>
          <w:szCs w:val="22"/>
        </w:rPr>
      </w:pPr>
      <w:r w:rsidRPr="009322BE">
        <w:rPr>
          <w:rFonts w:ascii="Agfa Rotis Sans Serif" w:hAnsi="Agfa Rotis Sans Serif" w:cs="Arial"/>
          <w:b/>
          <w:bCs/>
          <w:sz w:val="22"/>
          <w:szCs w:val="22"/>
        </w:rPr>
        <w:t>In-Kraft-Treten</w:t>
      </w:r>
    </w:p>
    <w:p w14:paraId="551E27FE" w14:textId="77777777" w:rsidR="00544EA3" w:rsidRPr="009322BE" w:rsidRDefault="00544EA3" w:rsidP="009322BE">
      <w:pPr>
        <w:jc w:val="both"/>
        <w:rPr>
          <w:rFonts w:ascii="Agfa Rotis Sans Serif" w:hAnsi="Agfa Rotis Sans Serif" w:cs="Arial"/>
          <w:sz w:val="22"/>
          <w:szCs w:val="22"/>
        </w:rPr>
      </w:pPr>
    </w:p>
    <w:p w14:paraId="551E27FF" w14:textId="77777777" w:rsidR="006D2FE3" w:rsidRPr="009322BE" w:rsidRDefault="006D2FE3" w:rsidP="009322BE">
      <w:pPr>
        <w:jc w:val="both"/>
        <w:rPr>
          <w:rFonts w:ascii="Agfa Rotis Sans Serif" w:hAnsi="Agfa Rotis Sans Serif" w:cs="Arial"/>
          <w:b/>
          <w:bCs/>
          <w:sz w:val="22"/>
          <w:szCs w:val="22"/>
        </w:rPr>
      </w:pPr>
      <w:r w:rsidRPr="009322BE">
        <w:rPr>
          <w:rFonts w:ascii="Agfa Rotis Sans Serif" w:hAnsi="Agfa Rotis Sans Serif" w:cs="Arial"/>
          <w:sz w:val="22"/>
          <w:szCs w:val="22"/>
        </w:rPr>
        <w:t xml:space="preserve">Diese Zuwendungssatzung tritt </w:t>
      </w:r>
      <w:r w:rsidR="00290B81" w:rsidRPr="00054637">
        <w:rPr>
          <w:rFonts w:ascii="Agfa Rotis Sans Serif" w:hAnsi="Agfa Rotis Sans Serif" w:cs="Arial"/>
          <w:sz w:val="22"/>
          <w:szCs w:val="22"/>
        </w:rPr>
        <w:t>am</w:t>
      </w:r>
      <w:r w:rsidR="005252E9" w:rsidRPr="00054637">
        <w:rPr>
          <w:rFonts w:ascii="Agfa Rotis Sans Serif" w:hAnsi="Agfa Rotis Sans Serif" w:cs="Arial"/>
          <w:sz w:val="22"/>
          <w:szCs w:val="22"/>
        </w:rPr>
        <w:t xml:space="preserve"> 1. November 2015</w:t>
      </w:r>
      <w:r w:rsidR="005252E9">
        <w:rPr>
          <w:rFonts w:ascii="Agfa Rotis Sans Serif" w:hAnsi="Agfa Rotis Sans Serif" w:cs="Arial"/>
          <w:sz w:val="22"/>
          <w:szCs w:val="22"/>
        </w:rPr>
        <w:t xml:space="preserve"> </w:t>
      </w:r>
      <w:r w:rsidRPr="009322BE">
        <w:rPr>
          <w:rFonts w:ascii="Agfa Rotis Sans Serif" w:hAnsi="Agfa Rotis Sans Serif" w:cs="Arial"/>
          <w:sz w:val="22"/>
          <w:szCs w:val="22"/>
        </w:rPr>
        <w:t>in Kraft; sie gilt nur für Zuwendungen, die ab In</w:t>
      </w:r>
      <w:r w:rsidRPr="009322BE">
        <w:rPr>
          <w:rFonts w:ascii="Agfa Rotis Sans Serif" w:hAnsi="Agfa Rotis Sans Serif" w:cs="Arial"/>
          <w:sz w:val="22"/>
          <w:szCs w:val="22"/>
        </w:rPr>
        <w:softHyphen/>
        <w:t xml:space="preserve">krafttreten dieser Satzung erfolgen. </w:t>
      </w:r>
    </w:p>
    <w:p w14:paraId="551E2800" w14:textId="77777777" w:rsidR="006D2FE3" w:rsidRPr="009322BE" w:rsidRDefault="006D2FE3" w:rsidP="009322BE">
      <w:pPr>
        <w:jc w:val="both"/>
        <w:rPr>
          <w:rFonts w:ascii="Agfa Rotis Sans Serif" w:hAnsi="Agfa Rotis Sans Serif"/>
          <w:sz w:val="22"/>
        </w:rPr>
      </w:pPr>
    </w:p>
    <w:p w14:paraId="551E2801" w14:textId="77777777" w:rsidR="005D7B55" w:rsidRPr="009322BE" w:rsidRDefault="005D7B55" w:rsidP="009322BE">
      <w:pPr>
        <w:jc w:val="both"/>
        <w:rPr>
          <w:rFonts w:ascii="Agfa Rotis Sans Serif" w:hAnsi="Agfa Rotis Sans Serif"/>
          <w:sz w:val="22"/>
        </w:rPr>
      </w:pPr>
    </w:p>
    <w:p w14:paraId="551E2802" w14:textId="77777777" w:rsidR="00901146" w:rsidRPr="00901146" w:rsidRDefault="00901146" w:rsidP="00901146">
      <w:pPr>
        <w:jc w:val="both"/>
        <w:rPr>
          <w:rFonts w:ascii="Agfa Rotis Sans Serif" w:eastAsia="Calibri" w:hAnsi="Agfa Rotis Sans Serif" w:cs="Arial"/>
          <w:sz w:val="22"/>
          <w:szCs w:val="22"/>
          <w:lang w:eastAsia="en-US"/>
        </w:rPr>
      </w:pPr>
    </w:p>
    <w:p w14:paraId="551E2803" w14:textId="77777777" w:rsidR="00901146" w:rsidRPr="00901146" w:rsidRDefault="00901146" w:rsidP="00901146">
      <w:pPr>
        <w:jc w:val="both"/>
        <w:rPr>
          <w:rFonts w:ascii="Agfa Rotis Sans Serif" w:hAnsi="Agfa Rotis Sans Serif"/>
          <w:bCs/>
          <w:sz w:val="22"/>
          <w:szCs w:val="22"/>
        </w:rPr>
      </w:pPr>
      <w:r w:rsidRPr="00901146">
        <w:rPr>
          <w:rFonts w:ascii="Agfa Rotis Sans Serif" w:hAnsi="Agfa Rotis Sans Serif"/>
          <w:bCs/>
          <w:sz w:val="22"/>
          <w:szCs w:val="22"/>
        </w:rPr>
        <w:t xml:space="preserve">Villingen-Schwenningen, den </w:t>
      </w:r>
      <w:r w:rsidR="00D95B92" w:rsidRPr="00D95B92">
        <w:rPr>
          <w:rFonts w:ascii="Agfa Rotis Sans Serif" w:hAnsi="Agfa Rotis Sans Serif"/>
          <w:bCs/>
          <w:sz w:val="22"/>
          <w:szCs w:val="22"/>
        </w:rPr>
        <w:t>24</w:t>
      </w:r>
      <w:r w:rsidR="00FA02A0" w:rsidRPr="00D95B92">
        <w:rPr>
          <w:rFonts w:ascii="Agfa Rotis Sans Serif" w:hAnsi="Agfa Rotis Sans Serif"/>
          <w:bCs/>
          <w:sz w:val="22"/>
          <w:szCs w:val="22"/>
        </w:rPr>
        <w:t>. September 2015</w:t>
      </w:r>
    </w:p>
    <w:p w14:paraId="551E2804" w14:textId="77777777" w:rsidR="00901146" w:rsidRPr="00901146" w:rsidRDefault="00901146" w:rsidP="00901146">
      <w:pPr>
        <w:tabs>
          <w:tab w:val="center" w:pos="4536"/>
          <w:tab w:val="right" w:pos="9072"/>
        </w:tabs>
        <w:overflowPunct w:val="0"/>
        <w:autoSpaceDE w:val="0"/>
        <w:autoSpaceDN w:val="0"/>
        <w:adjustRightInd w:val="0"/>
        <w:ind w:left="910" w:hanging="910"/>
        <w:jc w:val="both"/>
        <w:textAlignment w:val="baseline"/>
        <w:rPr>
          <w:rFonts w:ascii="Agfa Rotis Sans Serif" w:hAnsi="Agfa Rotis Sans Serif"/>
          <w:bCs/>
          <w:sz w:val="22"/>
          <w:szCs w:val="22"/>
        </w:rPr>
      </w:pPr>
      <w:r w:rsidRPr="00901146">
        <w:rPr>
          <w:rFonts w:ascii="Agfa Rotis Sans Serif" w:hAnsi="Agfa Rotis Sans Serif"/>
          <w:bCs/>
          <w:sz w:val="22"/>
          <w:szCs w:val="22"/>
        </w:rPr>
        <w:t>IHK Schwarzwald-Baar-Heuberg</w:t>
      </w:r>
    </w:p>
    <w:p w14:paraId="551E2805" w14:textId="77777777" w:rsidR="00901146" w:rsidRPr="00901146" w:rsidRDefault="00901146" w:rsidP="00901146">
      <w:pPr>
        <w:tabs>
          <w:tab w:val="center" w:pos="4536"/>
          <w:tab w:val="right" w:pos="9072"/>
        </w:tabs>
        <w:overflowPunct w:val="0"/>
        <w:autoSpaceDE w:val="0"/>
        <w:autoSpaceDN w:val="0"/>
        <w:adjustRightInd w:val="0"/>
        <w:ind w:left="910" w:hanging="910"/>
        <w:jc w:val="both"/>
        <w:textAlignment w:val="baseline"/>
        <w:rPr>
          <w:rFonts w:ascii="Agfa Rotis Sans Serif" w:hAnsi="Agfa Rotis Sans Serif"/>
          <w:bCs/>
          <w:sz w:val="22"/>
          <w:szCs w:val="22"/>
        </w:rPr>
      </w:pPr>
    </w:p>
    <w:p w14:paraId="551E2806" w14:textId="77777777" w:rsidR="00901146" w:rsidRPr="00901146" w:rsidRDefault="00901146" w:rsidP="00901146">
      <w:pPr>
        <w:tabs>
          <w:tab w:val="center" w:pos="4536"/>
          <w:tab w:val="right" w:pos="9072"/>
        </w:tabs>
        <w:overflowPunct w:val="0"/>
        <w:autoSpaceDE w:val="0"/>
        <w:autoSpaceDN w:val="0"/>
        <w:adjustRightInd w:val="0"/>
        <w:ind w:left="910" w:hanging="910"/>
        <w:jc w:val="both"/>
        <w:textAlignment w:val="baseline"/>
        <w:rPr>
          <w:rFonts w:ascii="Agfa Rotis Sans Serif" w:hAnsi="Agfa Rotis Sans Serif"/>
          <w:bCs/>
          <w:sz w:val="22"/>
          <w:szCs w:val="22"/>
        </w:rPr>
      </w:pPr>
    </w:p>
    <w:p w14:paraId="34508E42" w14:textId="77777777" w:rsidR="0048685D" w:rsidRPr="00721D4C" w:rsidRDefault="0048685D" w:rsidP="0048685D">
      <w:pPr>
        <w:tabs>
          <w:tab w:val="center" w:pos="4536"/>
          <w:tab w:val="left" w:pos="5103"/>
          <w:tab w:val="right" w:pos="9072"/>
        </w:tabs>
        <w:ind w:left="910" w:hanging="910"/>
        <w:jc w:val="both"/>
        <w:rPr>
          <w:rFonts w:ascii="Agfa Rotis Sans Serif" w:hAnsi="Agfa Rotis Sans Serif"/>
          <w:bCs/>
          <w:i/>
          <w:color w:val="0070C0"/>
          <w:szCs w:val="22"/>
        </w:rPr>
      </w:pPr>
      <w:r>
        <w:rPr>
          <w:rFonts w:ascii="Agfa Rotis Sans Serif" w:hAnsi="Agfa Rotis Sans Serif"/>
          <w:bCs/>
          <w:i/>
          <w:color w:val="0070C0"/>
          <w:szCs w:val="22"/>
        </w:rPr>
        <w:t>gez. Dieter Teufel</w:t>
      </w:r>
      <w:r>
        <w:rPr>
          <w:rFonts w:ascii="Agfa Rotis Sans Serif" w:hAnsi="Agfa Rotis Sans Serif"/>
          <w:bCs/>
          <w:i/>
          <w:color w:val="0070C0"/>
          <w:szCs w:val="22"/>
        </w:rPr>
        <w:tab/>
      </w:r>
      <w:r>
        <w:rPr>
          <w:rFonts w:ascii="Agfa Rotis Sans Serif" w:hAnsi="Agfa Rotis Sans Serif"/>
          <w:bCs/>
          <w:i/>
          <w:color w:val="0070C0"/>
          <w:szCs w:val="22"/>
        </w:rPr>
        <w:tab/>
      </w:r>
      <w:r w:rsidRPr="003D2A26">
        <w:rPr>
          <w:rFonts w:ascii="Agfa Rotis Sans Serif" w:hAnsi="Agfa Rotis Sans Serif"/>
          <w:bCs/>
          <w:i/>
          <w:color w:val="0070C0"/>
          <w:szCs w:val="22"/>
        </w:rPr>
        <w:t>gez. Thomas Albiez</w:t>
      </w:r>
    </w:p>
    <w:p w14:paraId="551E2808" w14:textId="77777777" w:rsidR="00901146" w:rsidRPr="00901146" w:rsidRDefault="00901146" w:rsidP="00901146">
      <w:pPr>
        <w:tabs>
          <w:tab w:val="center" w:pos="4536"/>
          <w:tab w:val="right" w:pos="9072"/>
        </w:tabs>
        <w:overflowPunct w:val="0"/>
        <w:autoSpaceDE w:val="0"/>
        <w:autoSpaceDN w:val="0"/>
        <w:adjustRightInd w:val="0"/>
        <w:ind w:left="910" w:hanging="910"/>
        <w:jc w:val="both"/>
        <w:textAlignment w:val="baseline"/>
        <w:rPr>
          <w:rFonts w:ascii="Agfa Rotis Sans Serif" w:hAnsi="Agfa Rotis Sans Serif"/>
          <w:bCs/>
          <w:sz w:val="22"/>
          <w:szCs w:val="22"/>
        </w:rPr>
      </w:pPr>
    </w:p>
    <w:p w14:paraId="551E2809" w14:textId="77777777" w:rsidR="00901146" w:rsidRPr="00901146" w:rsidRDefault="00901146" w:rsidP="00901146">
      <w:pPr>
        <w:tabs>
          <w:tab w:val="center" w:pos="4536"/>
          <w:tab w:val="left" w:pos="5103"/>
          <w:tab w:val="right" w:pos="9072"/>
        </w:tabs>
        <w:overflowPunct w:val="0"/>
        <w:autoSpaceDE w:val="0"/>
        <w:autoSpaceDN w:val="0"/>
        <w:adjustRightInd w:val="0"/>
        <w:ind w:left="910" w:hanging="910"/>
        <w:jc w:val="both"/>
        <w:textAlignment w:val="baseline"/>
        <w:rPr>
          <w:rFonts w:ascii="Agfa Rotis Sans Serif" w:hAnsi="Agfa Rotis Sans Serif"/>
          <w:bCs/>
          <w:sz w:val="22"/>
          <w:szCs w:val="22"/>
        </w:rPr>
      </w:pPr>
      <w:r w:rsidRPr="00901146">
        <w:rPr>
          <w:rFonts w:ascii="Agfa Rotis Sans Serif" w:hAnsi="Agfa Rotis Sans Serif"/>
          <w:bCs/>
          <w:sz w:val="22"/>
          <w:szCs w:val="22"/>
        </w:rPr>
        <w:t>Dieter Teufel</w:t>
      </w:r>
      <w:r w:rsidRPr="00901146">
        <w:rPr>
          <w:rFonts w:ascii="Agfa Rotis Sans Serif" w:hAnsi="Agfa Rotis Sans Serif"/>
          <w:bCs/>
          <w:sz w:val="22"/>
          <w:szCs w:val="22"/>
        </w:rPr>
        <w:tab/>
      </w:r>
      <w:r w:rsidRPr="00901146">
        <w:rPr>
          <w:rFonts w:ascii="Agfa Rotis Sans Serif" w:hAnsi="Agfa Rotis Sans Serif"/>
          <w:bCs/>
          <w:sz w:val="22"/>
          <w:szCs w:val="22"/>
        </w:rPr>
        <w:tab/>
        <w:t>Thomas Albiez</w:t>
      </w:r>
    </w:p>
    <w:p w14:paraId="551E280A" w14:textId="77777777" w:rsidR="00901146" w:rsidRPr="00901146" w:rsidRDefault="00901146" w:rsidP="00901146">
      <w:pPr>
        <w:tabs>
          <w:tab w:val="left" w:pos="5103"/>
          <w:tab w:val="right" w:pos="9072"/>
        </w:tabs>
        <w:overflowPunct w:val="0"/>
        <w:autoSpaceDE w:val="0"/>
        <w:autoSpaceDN w:val="0"/>
        <w:adjustRightInd w:val="0"/>
        <w:ind w:left="910" w:hanging="910"/>
        <w:jc w:val="both"/>
        <w:textAlignment w:val="baseline"/>
        <w:rPr>
          <w:rFonts w:ascii="Agfa Rotis Sans Serif" w:hAnsi="Agfa Rotis Sans Serif"/>
          <w:bCs/>
          <w:sz w:val="22"/>
          <w:szCs w:val="22"/>
        </w:rPr>
      </w:pPr>
      <w:r w:rsidRPr="00901146">
        <w:rPr>
          <w:rFonts w:ascii="Agfa Rotis Sans Serif" w:hAnsi="Agfa Rotis Sans Serif"/>
          <w:bCs/>
          <w:sz w:val="22"/>
          <w:szCs w:val="22"/>
        </w:rPr>
        <w:t>Präsident</w:t>
      </w:r>
      <w:r w:rsidRPr="00901146">
        <w:rPr>
          <w:rFonts w:ascii="Agfa Rotis Sans Serif" w:hAnsi="Agfa Rotis Sans Serif"/>
          <w:bCs/>
          <w:sz w:val="22"/>
          <w:szCs w:val="22"/>
        </w:rPr>
        <w:tab/>
      </w:r>
      <w:r w:rsidRPr="00901146">
        <w:rPr>
          <w:rFonts w:ascii="Agfa Rotis Sans Serif" w:hAnsi="Agfa Rotis Sans Serif"/>
          <w:bCs/>
          <w:sz w:val="22"/>
          <w:szCs w:val="22"/>
        </w:rPr>
        <w:tab/>
        <w:t>Hauptgeschäftsführer</w:t>
      </w:r>
    </w:p>
    <w:p w14:paraId="551E280B" w14:textId="77777777" w:rsidR="00901146" w:rsidRPr="00901146" w:rsidRDefault="00901146" w:rsidP="00901146">
      <w:pPr>
        <w:jc w:val="both"/>
        <w:rPr>
          <w:rFonts w:ascii="Agfa Rotis Sans Serif" w:hAnsi="Agfa Rotis Sans Serif"/>
          <w:bCs/>
          <w:sz w:val="22"/>
          <w:szCs w:val="22"/>
        </w:rPr>
      </w:pPr>
    </w:p>
    <w:sectPr w:rsidR="00901146" w:rsidRPr="00901146" w:rsidSect="00987F92">
      <w:headerReference w:type="default" r:id="rId7"/>
      <w:footerReference w:type="default" r:id="rId8"/>
      <w:pgSz w:w="11906" w:h="16838"/>
      <w:pgMar w:top="1960" w:right="1417" w:bottom="1134"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280E" w14:textId="77777777" w:rsidR="003E337C" w:rsidRDefault="003E337C">
      <w:r>
        <w:separator/>
      </w:r>
    </w:p>
  </w:endnote>
  <w:endnote w:type="continuationSeparator" w:id="0">
    <w:p w14:paraId="551E280F" w14:textId="77777777" w:rsidR="003E337C" w:rsidRDefault="003E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gfa Rotis Sans Serif">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2814" w14:textId="7939B6A1" w:rsidR="00901146" w:rsidRPr="00901146" w:rsidRDefault="00901146" w:rsidP="00901146">
    <w:pPr>
      <w:pStyle w:val="Fuzeile"/>
      <w:jc w:val="center"/>
      <w:rPr>
        <w:rFonts w:ascii="Agfa Rotis Sans Serif" w:hAnsi="Agfa Rotis Sans Serif"/>
        <w:sz w:val="22"/>
        <w:szCs w:val="22"/>
      </w:rPr>
    </w:pPr>
    <w:r w:rsidRPr="00901146">
      <w:rPr>
        <w:rFonts w:ascii="Agfa Rotis Sans Serif" w:hAnsi="Agfa Rotis Sans Serif"/>
        <w:sz w:val="22"/>
        <w:szCs w:val="22"/>
      </w:rPr>
      <w:t xml:space="preserve">- </w:t>
    </w:r>
    <w:r w:rsidRPr="00901146">
      <w:rPr>
        <w:rFonts w:ascii="Agfa Rotis Sans Serif" w:hAnsi="Agfa Rotis Sans Serif"/>
        <w:sz w:val="22"/>
        <w:szCs w:val="22"/>
      </w:rPr>
      <w:fldChar w:fldCharType="begin"/>
    </w:r>
    <w:r w:rsidRPr="00901146">
      <w:rPr>
        <w:rFonts w:ascii="Agfa Rotis Sans Serif" w:hAnsi="Agfa Rotis Sans Serif"/>
        <w:sz w:val="22"/>
        <w:szCs w:val="22"/>
      </w:rPr>
      <w:instrText>PAGE   \* MERGEFORMAT</w:instrText>
    </w:r>
    <w:r w:rsidRPr="00901146">
      <w:rPr>
        <w:rFonts w:ascii="Agfa Rotis Sans Serif" w:hAnsi="Agfa Rotis Sans Serif"/>
        <w:sz w:val="22"/>
        <w:szCs w:val="22"/>
      </w:rPr>
      <w:fldChar w:fldCharType="separate"/>
    </w:r>
    <w:r w:rsidR="005C4557">
      <w:rPr>
        <w:rFonts w:ascii="Agfa Rotis Sans Serif" w:hAnsi="Agfa Rotis Sans Serif"/>
        <w:noProof/>
        <w:sz w:val="22"/>
        <w:szCs w:val="22"/>
      </w:rPr>
      <w:t>1</w:t>
    </w:r>
    <w:r w:rsidRPr="00901146">
      <w:rPr>
        <w:rFonts w:ascii="Agfa Rotis Sans Serif" w:hAnsi="Agfa Rotis Sans Serif"/>
        <w:sz w:val="22"/>
        <w:szCs w:val="22"/>
      </w:rPr>
      <w:fldChar w:fldCharType="end"/>
    </w:r>
    <w:r w:rsidRPr="00901146">
      <w:rPr>
        <w:rFonts w:ascii="Agfa Rotis Sans Serif" w:hAnsi="Agfa Rotis Sans Serif"/>
        <w:sz w:val="22"/>
        <w:szCs w:val="22"/>
      </w:rPr>
      <w:t xml:space="preserve"> -</w:t>
    </w:r>
  </w:p>
  <w:p w14:paraId="551E2815" w14:textId="77777777" w:rsidR="00311ED7" w:rsidRPr="009D1E4A" w:rsidRDefault="00311ED7" w:rsidP="009D1E4A">
    <w:pPr>
      <w:pStyle w:val="Fuzeile"/>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280C" w14:textId="77777777" w:rsidR="003E337C" w:rsidRDefault="003E337C">
      <w:r>
        <w:separator/>
      </w:r>
    </w:p>
  </w:footnote>
  <w:footnote w:type="continuationSeparator" w:id="0">
    <w:p w14:paraId="551E280D" w14:textId="77777777" w:rsidR="003E337C" w:rsidRDefault="003E3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2811" w14:textId="3EF83E2C" w:rsidR="00311ED7" w:rsidRPr="00465CA2" w:rsidRDefault="0048685D" w:rsidP="009322BE">
    <w:pPr>
      <w:pStyle w:val="Kopfzeile"/>
      <w:rPr>
        <w:rFonts w:ascii="Arial" w:hAnsi="Arial" w:cs="Arial"/>
        <w:sz w:val="22"/>
        <w:szCs w:val="22"/>
        <w:u w:val="single"/>
      </w:rPr>
    </w:pPr>
    <w:r w:rsidRPr="002511A8">
      <w:rPr>
        <w:rFonts w:ascii="Arial" w:hAnsi="Arial" w:cs="Arial"/>
        <w:noProof/>
        <w:sz w:val="22"/>
        <w:szCs w:val="22"/>
      </w:rPr>
      <w:drawing>
        <wp:inline distT="0" distB="0" distL="0" distR="0" wp14:anchorId="5475FF77" wp14:editId="4DD65E22">
          <wp:extent cx="1676400" cy="523875"/>
          <wp:effectExtent l="0" t="0" r="0" b="9525"/>
          <wp:docPr id="1183341847"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341847"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76400" cy="523875"/>
                  </a:xfrm>
                  <a:prstGeom prst="rect">
                    <a:avLst/>
                  </a:prstGeom>
                </pic:spPr>
              </pic:pic>
            </a:graphicData>
          </a:graphic>
        </wp:inline>
      </w:drawing>
    </w:r>
  </w:p>
  <w:p w14:paraId="551E2812" w14:textId="77777777" w:rsidR="00465CA2" w:rsidRDefault="00465C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760"/>
    <w:multiLevelType w:val="hybridMultilevel"/>
    <w:tmpl w:val="7DA0CB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1A5C22"/>
    <w:multiLevelType w:val="hybridMultilevel"/>
    <w:tmpl w:val="762042F8"/>
    <w:lvl w:ilvl="0" w:tplc="C24A2B76">
      <w:start w:val="1"/>
      <w:numFmt w:val="decimal"/>
      <w:lvlText w:val="(%1)"/>
      <w:lvlJc w:val="left"/>
      <w:pPr>
        <w:tabs>
          <w:tab w:val="num" w:pos="360"/>
        </w:tabs>
        <w:ind w:left="360" w:hanging="360"/>
      </w:pPr>
      <w:rPr>
        <w:rFonts w:ascii="Arial" w:hAnsi="Arial"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C7F3417"/>
    <w:multiLevelType w:val="multilevel"/>
    <w:tmpl w:val="0407001F"/>
    <w:lvl w:ilvl="0">
      <w:start w:val="1"/>
      <w:numFmt w:val="decimal"/>
      <w:lvlText w:val="%1."/>
      <w:lvlJc w:val="left"/>
      <w:pPr>
        <w:tabs>
          <w:tab w:val="num" w:pos="360"/>
        </w:tabs>
        <w:ind w:left="360" w:hanging="360"/>
      </w:pPr>
      <w:rPr>
        <w:rFonts w:ascii="Arial" w:hAnsi="Arial"/>
        <w:sz w:val="22"/>
      </w:r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Arial" w:hAnsi="Arial" w:hint="default"/>
        <w:sz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4D518FF"/>
    <w:multiLevelType w:val="multilevel"/>
    <w:tmpl w:val="5ED226E6"/>
    <w:lvl w:ilvl="0">
      <w:start w:val="1"/>
      <w:numFmt w:val="ideographDigital"/>
      <w:lvlText w:val=""/>
      <w:lvlJc w:val="left"/>
      <w:rPr>
        <w:rFonts w:cs="Times New Roman"/>
      </w:rPr>
    </w:lvl>
    <w:lvl w:ilvl="1">
      <w:start w:val="1"/>
      <w:numFmt w:val="ideographDigital"/>
      <w:lvlText w:val=""/>
      <w:lvlJc w:val="left"/>
      <w:rPr>
        <w:rFonts w:cs="Times New Roman"/>
      </w:rPr>
    </w:lvl>
    <w:lvl w:ilvl="2">
      <w:start w:val="1"/>
      <w:numFmt w:val="bullet"/>
      <w:lvlText w:val=""/>
      <w:lvlJc w:val="left"/>
      <w:pPr>
        <w:tabs>
          <w:tab w:val="num" w:pos="360"/>
        </w:tabs>
        <w:ind w:left="360" w:hanging="360"/>
      </w:pPr>
      <w:rPr>
        <w:rFonts w:ascii="Symbol" w:hAnsi="Symbol" w:hint="default"/>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71A1C83"/>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0A71375"/>
    <w:multiLevelType w:val="hybridMultilevel"/>
    <w:tmpl w:val="5F442AB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15:restartNumberingAfterBreak="0">
    <w:nsid w:val="41D96F87"/>
    <w:multiLevelType w:val="hybridMultilevel"/>
    <w:tmpl w:val="B79ED58A"/>
    <w:lvl w:ilvl="0" w:tplc="C24A2B76">
      <w:start w:val="1"/>
      <w:numFmt w:val="decimal"/>
      <w:lvlText w:val="(%1)"/>
      <w:lvlJc w:val="left"/>
      <w:pPr>
        <w:tabs>
          <w:tab w:val="num" w:pos="360"/>
        </w:tabs>
        <w:ind w:left="360" w:hanging="360"/>
      </w:pPr>
      <w:rPr>
        <w:rFonts w:ascii="Arial" w:hAnsi="Arial"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31821EC"/>
    <w:multiLevelType w:val="hybridMultilevel"/>
    <w:tmpl w:val="144C0C3A"/>
    <w:lvl w:ilvl="0" w:tplc="7AF480D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C93E07"/>
    <w:multiLevelType w:val="multilevel"/>
    <w:tmpl w:val="A8D81B9C"/>
    <w:lvl w:ilvl="0">
      <w:start w:val="1"/>
      <w:numFmt w:val="decimal"/>
      <w:lvlText w:val="%1."/>
      <w:lvlJc w:val="left"/>
      <w:rPr>
        <w:rFonts w:cs="Times New Roman"/>
      </w:rPr>
    </w:lvl>
    <w:lvl w:ilvl="1">
      <w:start w:val="1"/>
      <w:numFmt w:val="ideographDigital"/>
      <w:lvlText w:val="."/>
      <w:lvlJc w:val="left"/>
      <w:rPr>
        <w:rFonts w:cs="Times New Roman"/>
      </w:rPr>
    </w:lvl>
    <w:lvl w:ilvl="2">
      <w:start w:val="1"/>
      <w:numFmt w:val="decimal"/>
      <w:lvlText w:val="%1"/>
      <w:lvlJc w:val="left"/>
      <w:rPr>
        <w:rFonts w:cs="Times New Roman"/>
      </w:rPr>
    </w:lvl>
    <w:lvl w:ilvl="3">
      <w:start w:val="1"/>
      <w:numFmt w:val="bullet"/>
      <w:lvlText w:val=""/>
      <w:lvlJc w:val="left"/>
      <w:pPr>
        <w:tabs>
          <w:tab w:val="num" w:pos="360"/>
        </w:tabs>
        <w:ind w:left="360" w:hanging="360"/>
      </w:pPr>
      <w:rPr>
        <w:rFonts w:ascii="Symbol" w:hAnsi="Symbol" w:hint="default"/>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5793774D"/>
    <w:multiLevelType w:val="hybridMultilevel"/>
    <w:tmpl w:val="F40C0D4A"/>
    <w:lvl w:ilvl="0" w:tplc="C24A2B76">
      <w:start w:val="1"/>
      <w:numFmt w:val="decimal"/>
      <w:lvlText w:val="(%1)"/>
      <w:lvlJc w:val="left"/>
      <w:pPr>
        <w:tabs>
          <w:tab w:val="num" w:pos="360"/>
        </w:tabs>
        <w:ind w:left="360" w:hanging="360"/>
      </w:pPr>
      <w:rPr>
        <w:rFonts w:ascii="Arial" w:hAnsi="Arial"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45018DB"/>
    <w:multiLevelType w:val="hybridMultilevel"/>
    <w:tmpl w:val="FAF653BC"/>
    <w:lvl w:ilvl="0" w:tplc="C24A2B76">
      <w:start w:val="1"/>
      <w:numFmt w:val="decimal"/>
      <w:lvlText w:val="(%1)"/>
      <w:lvlJc w:val="left"/>
      <w:pPr>
        <w:tabs>
          <w:tab w:val="num" w:pos="360"/>
        </w:tabs>
        <w:ind w:left="360" w:hanging="360"/>
      </w:pPr>
      <w:rPr>
        <w:rFonts w:ascii="Arial" w:hAnsi="Arial"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6C7366C"/>
    <w:multiLevelType w:val="hybridMultilevel"/>
    <w:tmpl w:val="40C4FD42"/>
    <w:lvl w:ilvl="0" w:tplc="29B464A4">
      <w:start w:val="1"/>
      <w:numFmt w:val="decimal"/>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D45616"/>
    <w:multiLevelType w:val="multilevel"/>
    <w:tmpl w:val="9FCA6F5C"/>
    <w:lvl w:ilvl="0">
      <w:start w:val="1"/>
      <w:numFmt w:val="decimal"/>
      <w:lvlText w:val="%1."/>
      <w:lvlJc w:val="left"/>
      <w:rPr>
        <w:rFonts w:cs="Times New Roman"/>
      </w:rPr>
    </w:lvl>
    <w:lvl w:ilvl="1">
      <w:start w:val="1"/>
      <w:numFmt w:val="ideographDigital"/>
      <w:lvlText w:val="."/>
      <w:lvlJc w:val="left"/>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start w:val="1"/>
      <w:numFmt w:val="bullet"/>
      <w:lvlText w:val=""/>
      <w:lvlJc w:val="left"/>
      <w:pPr>
        <w:tabs>
          <w:tab w:val="num" w:pos="360"/>
        </w:tabs>
        <w:ind w:left="360" w:hanging="360"/>
      </w:pPr>
      <w:rPr>
        <w:rFonts w:ascii="Symbol" w:hAnsi="Symbol" w:hint="default"/>
      </w:rPr>
    </w:lvl>
    <w:lvl w:ilvl="7">
      <w:numFmt w:val="decimal"/>
      <w:lvlText w:val=""/>
      <w:lvlJc w:val="left"/>
      <w:rPr>
        <w:rFonts w:cs="Times New Roman"/>
      </w:rPr>
    </w:lvl>
    <w:lvl w:ilvl="8">
      <w:numFmt w:val="decimal"/>
      <w:lvlText w:val=""/>
      <w:lvlJc w:val="left"/>
      <w:rPr>
        <w:rFonts w:cs="Times New Roman"/>
      </w:rPr>
    </w:lvl>
  </w:abstractNum>
  <w:num w:numId="1" w16cid:durableId="99839828">
    <w:abstractNumId w:val="4"/>
  </w:num>
  <w:num w:numId="2" w16cid:durableId="806238078">
    <w:abstractNumId w:val="2"/>
  </w:num>
  <w:num w:numId="3" w16cid:durableId="1988439418">
    <w:abstractNumId w:val="2"/>
  </w:num>
  <w:num w:numId="4" w16cid:durableId="2064063779">
    <w:abstractNumId w:val="8"/>
  </w:num>
  <w:num w:numId="5" w16cid:durableId="1496871933">
    <w:abstractNumId w:val="6"/>
  </w:num>
  <w:num w:numId="6" w16cid:durableId="103817043">
    <w:abstractNumId w:val="10"/>
  </w:num>
  <w:num w:numId="7" w16cid:durableId="1551649759">
    <w:abstractNumId w:val="12"/>
  </w:num>
  <w:num w:numId="8" w16cid:durableId="1547716200">
    <w:abstractNumId w:val="1"/>
  </w:num>
  <w:num w:numId="9" w16cid:durableId="1227186745">
    <w:abstractNumId w:val="3"/>
  </w:num>
  <w:num w:numId="10" w16cid:durableId="353771188">
    <w:abstractNumId w:val="9"/>
  </w:num>
  <w:num w:numId="11" w16cid:durableId="811021389">
    <w:abstractNumId w:val="0"/>
  </w:num>
  <w:num w:numId="12" w16cid:durableId="1643775394">
    <w:abstractNumId w:val="11"/>
  </w:num>
  <w:num w:numId="13" w16cid:durableId="1988777967">
    <w:abstractNumId w:val="5"/>
  </w:num>
  <w:num w:numId="14" w16cid:durableId="1847750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76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FE3"/>
    <w:rsid w:val="00054637"/>
    <w:rsid w:val="000614B6"/>
    <w:rsid w:val="00064D82"/>
    <w:rsid w:val="000B115C"/>
    <w:rsid w:val="000C77E9"/>
    <w:rsid w:val="000E76B7"/>
    <w:rsid w:val="001132E4"/>
    <w:rsid w:val="00124C01"/>
    <w:rsid w:val="001250E8"/>
    <w:rsid w:val="00126A53"/>
    <w:rsid w:val="0015595F"/>
    <w:rsid w:val="001640F3"/>
    <w:rsid w:val="001A441D"/>
    <w:rsid w:val="001B2B75"/>
    <w:rsid w:val="001B516C"/>
    <w:rsid w:val="001D546C"/>
    <w:rsid w:val="00200074"/>
    <w:rsid w:val="002032B5"/>
    <w:rsid w:val="00206693"/>
    <w:rsid w:val="002622BC"/>
    <w:rsid w:val="00290B81"/>
    <w:rsid w:val="002C6384"/>
    <w:rsid w:val="002E5330"/>
    <w:rsid w:val="002F44B1"/>
    <w:rsid w:val="00311ED7"/>
    <w:rsid w:val="003318CC"/>
    <w:rsid w:val="00340FB3"/>
    <w:rsid w:val="00375820"/>
    <w:rsid w:val="003E337C"/>
    <w:rsid w:val="004217A0"/>
    <w:rsid w:val="004404A4"/>
    <w:rsid w:val="00440A80"/>
    <w:rsid w:val="00443A4B"/>
    <w:rsid w:val="00451263"/>
    <w:rsid w:val="00465CA2"/>
    <w:rsid w:val="0048685D"/>
    <w:rsid w:val="00493F64"/>
    <w:rsid w:val="00495823"/>
    <w:rsid w:val="004A21DE"/>
    <w:rsid w:val="004B66BC"/>
    <w:rsid w:val="004C43EB"/>
    <w:rsid w:val="005252E9"/>
    <w:rsid w:val="005315FA"/>
    <w:rsid w:val="00544EA3"/>
    <w:rsid w:val="005653D3"/>
    <w:rsid w:val="00582AED"/>
    <w:rsid w:val="005B4750"/>
    <w:rsid w:val="005C2BDA"/>
    <w:rsid w:val="005C4557"/>
    <w:rsid w:val="005D7B55"/>
    <w:rsid w:val="00631A38"/>
    <w:rsid w:val="006334F4"/>
    <w:rsid w:val="00650C8F"/>
    <w:rsid w:val="00671661"/>
    <w:rsid w:val="00681FDC"/>
    <w:rsid w:val="00687C80"/>
    <w:rsid w:val="006D28FC"/>
    <w:rsid w:val="006D2FE3"/>
    <w:rsid w:val="00726B7E"/>
    <w:rsid w:val="007375F9"/>
    <w:rsid w:val="007771E6"/>
    <w:rsid w:val="007877B3"/>
    <w:rsid w:val="007B1F48"/>
    <w:rsid w:val="00820703"/>
    <w:rsid w:val="00826D85"/>
    <w:rsid w:val="00892DCD"/>
    <w:rsid w:val="008A1BD6"/>
    <w:rsid w:val="008C0FCD"/>
    <w:rsid w:val="008D62D0"/>
    <w:rsid w:val="008E5CE0"/>
    <w:rsid w:val="008F1EEB"/>
    <w:rsid w:val="008F3439"/>
    <w:rsid w:val="00901146"/>
    <w:rsid w:val="009322BE"/>
    <w:rsid w:val="009534A1"/>
    <w:rsid w:val="0098328D"/>
    <w:rsid w:val="00987F92"/>
    <w:rsid w:val="009B2A27"/>
    <w:rsid w:val="009D1E4A"/>
    <w:rsid w:val="00A40AF4"/>
    <w:rsid w:val="00A414B3"/>
    <w:rsid w:val="00A45B19"/>
    <w:rsid w:val="00A532A2"/>
    <w:rsid w:val="00AB0112"/>
    <w:rsid w:val="00AB72E0"/>
    <w:rsid w:val="00B01DEE"/>
    <w:rsid w:val="00B123A1"/>
    <w:rsid w:val="00B54426"/>
    <w:rsid w:val="00B6512A"/>
    <w:rsid w:val="00C14A01"/>
    <w:rsid w:val="00C77A0F"/>
    <w:rsid w:val="00C77D99"/>
    <w:rsid w:val="00C84AC0"/>
    <w:rsid w:val="00CB47B8"/>
    <w:rsid w:val="00CE763C"/>
    <w:rsid w:val="00CF244F"/>
    <w:rsid w:val="00CF5C87"/>
    <w:rsid w:val="00D128F7"/>
    <w:rsid w:val="00D5614B"/>
    <w:rsid w:val="00D71E46"/>
    <w:rsid w:val="00D75FF6"/>
    <w:rsid w:val="00D95B92"/>
    <w:rsid w:val="00DB475E"/>
    <w:rsid w:val="00DD6EBE"/>
    <w:rsid w:val="00DE0D7A"/>
    <w:rsid w:val="00E400AA"/>
    <w:rsid w:val="00E763D5"/>
    <w:rsid w:val="00EB1B74"/>
    <w:rsid w:val="00ED7D66"/>
    <w:rsid w:val="00F03F15"/>
    <w:rsid w:val="00F348D3"/>
    <w:rsid w:val="00F579F9"/>
    <w:rsid w:val="00F627E4"/>
    <w:rsid w:val="00FA02A0"/>
    <w:rsid w:val="00FA72BE"/>
    <w:rsid w:val="00FF49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14:docId w14:val="551E27AF"/>
  <w15:docId w15:val="{5EC4D125-0396-4EB7-8997-FFEFFE70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D2FE3"/>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aliases w:val="Gliederung 1.1.1"/>
    <w:basedOn w:val="KeineListe"/>
    <w:rsid w:val="006334F4"/>
    <w:pPr>
      <w:numPr>
        <w:numId w:val="1"/>
      </w:numPr>
    </w:pPr>
  </w:style>
  <w:style w:type="paragraph" w:styleId="Kopfzeile">
    <w:name w:val="header"/>
    <w:basedOn w:val="Standard"/>
    <w:rsid w:val="00311ED7"/>
    <w:pPr>
      <w:tabs>
        <w:tab w:val="center" w:pos="4536"/>
        <w:tab w:val="right" w:pos="9072"/>
      </w:tabs>
    </w:pPr>
  </w:style>
  <w:style w:type="paragraph" w:styleId="Fuzeile">
    <w:name w:val="footer"/>
    <w:basedOn w:val="Standard"/>
    <w:link w:val="FuzeileZchn"/>
    <w:uiPriority w:val="99"/>
    <w:rsid w:val="00311ED7"/>
    <w:pPr>
      <w:tabs>
        <w:tab w:val="center" w:pos="4536"/>
        <w:tab w:val="right" w:pos="9072"/>
      </w:tabs>
    </w:pPr>
  </w:style>
  <w:style w:type="character" w:styleId="Seitenzahl">
    <w:name w:val="page number"/>
    <w:basedOn w:val="Absatz-Standardschriftart"/>
    <w:rsid w:val="00311ED7"/>
  </w:style>
  <w:style w:type="paragraph" w:styleId="Sprechblasentext">
    <w:name w:val="Balloon Text"/>
    <w:basedOn w:val="Standard"/>
    <w:semiHidden/>
    <w:rsid w:val="009D1E4A"/>
    <w:rPr>
      <w:rFonts w:ascii="Tahoma" w:hAnsi="Tahoma" w:cs="Tahoma"/>
      <w:sz w:val="16"/>
      <w:szCs w:val="16"/>
    </w:rPr>
  </w:style>
  <w:style w:type="character" w:customStyle="1" w:styleId="FuzeileZchn">
    <w:name w:val="Fußzeile Zchn"/>
    <w:basedOn w:val="Absatz-Standardschriftart"/>
    <w:link w:val="Fuzeile"/>
    <w:uiPriority w:val="99"/>
    <w:locked/>
    <w:rsid w:val="009D1E4A"/>
    <w:rPr>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6556</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Muster-Zuwendungssatzung</vt:lpstr>
    </vt:vector>
  </TitlesOfParts>
  <Company>DIHK</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Muster-Zuwendungssatzung</dc:title>
  <dc:creator>mgaj</dc:creator>
  <cp:lastModifiedBy>Monopoli, Irmtraud</cp:lastModifiedBy>
  <cp:revision>3</cp:revision>
  <cp:lastPrinted>2012-10-19T13:56:00Z</cp:lastPrinted>
  <dcterms:created xsi:type="dcterms:W3CDTF">2021-03-25T14:32:00Z</dcterms:created>
  <dcterms:modified xsi:type="dcterms:W3CDTF">2024-01-22T15:56:00Z</dcterms:modified>
</cp:coreProperties>
</file>