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AEDA" w14:textId="77777777" w:rsidR="006D32EB" w:rsidRDefault="006D32EB">
      <w:pPr>
        <w:framePr w:w="3867" w:h="1445" w:hSpace="141" w:wrap="around" w:vAnchor="text" w:hAnchor="page" w:x="1728" w:y="-103"/>
        <w:shd w:val="solid" w:color="FFFFFF" w:fill="FFFFFF"/>
        <w:rPr>
          <w:sz w:val="16"/>
        </w:rPr>
      </w:pPr>
    </w:p>
    <w:p w14:paraId="631D9FD5" w14:textId="2B24525F" w:rsidR="006D32EB" w:rsidRDefault="00862420">
      <w:pPr>
        <w:framePr w:w="3867" w:h="1445" w:hSpace="141" w:wrap="around" w:vAnchor="text" w:hAnchor="page" w:x="1728" w:y="-103"/>
        <w:shd w:val="solid" w:color="FFFFFF" w:fill="FFFFFF"/>
      </w:pPr>
      <w:r>
        <w:rPr>
          <w:noProof/>
          <w:sz w:val="16"/>
        </w:rPr>
        <w:drawing>
          <wp:inline distT="0" distB="0" distL="0" distR="0" wp14:anchorId="6B8B37A9" wp14:editId="4918910B">
            <wp:extent cx="1725555" cy="567055"/>
            <wp:effectExtent l="0" t="0" r="8255" b="444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25555" cy="567055"/>
                    </a:xfrm>
                    <a:prstGeom prst="rect">
                      <a:avLst/>
                    </a:prstGeom>
                    <a:noFill/>
                    <a:ln>
                      <a:noFill/>
                    </a:ln>
                  </pic:spPr>
                </pic:pic>
              </a:graphicData>
            </a:graphic>
          </wp:inline>
        </w:drawing>
      </w:r>
    </w:p>
    <w:p w14:paraId="0289A8E4" w14:textId="77777777" w:rsidR="006D32EB" w:rsidRDefault="006D32EB"/>
    <w:p w14:paraId="7620E5A0" w14:textId="77777777" w:rsidR="006D32EB" w:rsidRDefault="006D32EB"/>
    <w:p w14:paraId="6716312C" w14:textId="77777777" w:rsidR="006D32EB" w:rsidRDefault="006D32EB"/>
    <w:p w14:paraId="5969541A" w14:textId="77777777" w:rsidR="006D32EB" w:rsidRDefault="006D32EB"/>
    <w:p w14:paraId="38CC5199" w14:textId="77777777" w:rsidR="006D32EB" w:rsidRDefault="006D32EB"/>
    <w:p w14:paraId="1163207E" w14:textId="77777777" w:rsidR="006D32EB" w:rsidRDefault="006D32EB"/>
    <w:p w14:paraId="22E2474F" w14:textId="77777777" w:rsidR="006D32EB" w:rsidRDefault="006D32EB"/>
    <w:p w14:paraId="5DD66AC1" w14:textId="77777777" w:rsidR="006D32EB" w:rsidRDefault="006D32EB"/>
    <w:p w14:paraId="05CA4BC7" w14:textId="77777777" w:rsidR="006D32EB" w:rsidRDefault="006D32EB"/>
    <w:p w14:paraId="3CC9C6B8" w14:textId="77777777" w:rsidR="006D32EB" w:rsidRDefault="006D32EB"/>
    <w:p w14:paraId="23D947E1" w14:textId="77777777" w:rsidR="006D32EB" w:rsidRDefault="006D32EB"/>
    <w:p w14:paraId="61A73DB5" w14:textId="77777777" w:rsidR="006D32EB" w:rsidRDefault="006D32EB"/>
    <w:p w14:paraId="67F720B8" w14:textId="77777777" w:rsidR="006D32EB" w:rsidRDefault="006D32EB"/>
    <w:p w14:paraId="0EAF1621" w14:textId="77777777" w:rsidR="006D32EB" w:rsidRDefault="006D32EB"/>
    <w:p w14:paraId="6DF096F3" w14:textId="77777777" w:rsidR="006D32EB" w:rsidRDefault="006D32EB"/>
    <w:p w14:paraId="77A758FF" w14:textId="77777777" w:rsidR="006D32EB" w:rsidRDefault="006D32EB"/>
    <w:p w14:paraId="773549DC" w14:textId="4E811F46" w:rsidR="003020E7" w:rsidRDefault="003020E7" w:rsidP="00237773">
      <w:pPr>
        <w:pStyle w:val="berschrift1"/>
        <w:jc w:val="center"/>
      </w:pPr>
      <w:r>
        <w:t>Muster</w:t>
      </w:r>
    </w:p>
    <w:p w14:paraId="2C869A0A" w14:textId="77777777" w:rsidR="003020E7" w:rsidRDefault="003020E7" w:rsidP="00237773">
      <w:pPr>
        <w:pStyle w:val="berschrift1"/>
        <w:jc w:val="center"/>
      </w:pPr>
    </w:p>
    <w:p w14:paraId="3CCBC3FE" w14:textId="48290B8C" w:rsidR="00A243B2" w:rsidRPr="00993846" w:rsidRDefault="00A243B2" w:rsidP="00237773">
      <w:pPr>
        <w:pStyle w:val="berschrift1"/>
        <w:jc w:val="center"/>
      </w:pPr>
      <w:r w:rsidRPr="00993846">
        <w:t>Allgemeine</w:t>
      </w:r>
    </w:p>
    <w:p w14:paraId="702AB20D" w14:textId="77777777" w:rsidR="00A243B2" w:rsidRDefault="00A243B2" w:rsidP="00237773">
      <w:pPr>
        <w:pStyle w:val="berschrift1"/>
        <w:jc w:val="center"/>
      </w:pPr>
      <w:r w:rsidRPr="00993846">
        <w:t>Verkaufsbedingungen</w:t>
      </w:r>
    </w:p>
    <w:p w14:paraId="30FD8134" w14:textId="77777777" w:rsidR="00A243B2" w:rsidRPr="00993846" w:rsidRDefault="00A243B2" w:rsidP="00237773">
      <w:pPr>
        <w:pStyle w:val="berschrift1"/>
        <w:jc w:val="center"/>
      </w:pPr>
    </w:p>
    <w:p w14:paraId="085271B3" w14:textId="77777777" w:rsidR="00A243B2" w:rsidRPr="00993846" w:rsidRDefault="00A243B2" w:rsidP="00237773">
      <w:pPr>
        <w:pStyle w:val="berschrift1"/>
        <w:jc w:val="center"/>
      </w:pPr>
      <w:r w:rsidRPr="00993846">
        <w:t>(AGB)</w:t>
      </w:r>
    </w:p>
    <w:p w14:paraId="5DE09048" w14:textId="77777777" w:rsidR="00A243B2" w:rsidRPr="00325A62" w:rsidRDefault="00A243B2" w:rsidP="00A243B2">
      <w:pPr>
        <w:jc w:val="center"/>
        <w:rPr>
          <w:b/>
          <w:sz w:val="40"/>
          <w:szCs w:val="40"/>
        </w:rPr>
      </w:pPr>
    </w:p>
    <w:p w14:paraId="0B0BF31A" w14:textId="77777777" w:rsidR="00A243B2" w:rsidRDefault="00A243B2" w:rsidP="00A243B2">
      <w:pPr>
        <w:spacing w:line="360" w:lineRule="auto"/>
        <w:jc w:val="center"/>
        <w:rPr>
          <w:b/>
          <w:sz w:val="40"/>
        </w:rPr>
      </w:pPr>
      <w:r>
        <w:rPr>
          <w:b/>
          <w:sz w:val="40"/>
        </w:rPr>
        <w:t xml:space="preserve">für den </w:t>
      </w:r>
      <w:r>
        <w:rPr>
          <w:b/>
          <w:sz w:val="40"/>
          <w:u w:val="single"/>
        </w:rPr>
        <w:t>kaufmännischen</w:t>
      </w:r>
      <w:r>
        <w:rPr>
          <w:b/>
          <w:sz w:val="40"/>
        </w:rPr>
        <w:t xml:space="preserve"> Verkehr</w:t>
      </w:r>
    </w:p>
    <w:p w14:paraId="6479D0DC" w14:textId="77777777" w:rsidR="006D32EB" w:rsidRDefault="00A243B2" w:rsidP="00237773">
      <w:pPr>
        <w:jc w:val="center"/>
      </w:pPr>
      <w:r w:rsidRPr="00CE25FC">
        <w:rPr>
          <w:sz w:val="36"/>
        </w:rPr>
        <w:t>(Verkäufer und Käufer sind Unternehmer)</w:t>
      </w:r>
    </w:p>
    <w:p w14:paraId="304E6C67" w14:textId="77777777" w:rsidR="006D32EB" w:rsidRDefault="006D32EB" w:rsidP="00782FB8"/>
    <w:p w14:paraId="4BA17526" w14:textId="77777777" w:rsidR="00782FB8" w:rsidRDefault="00782FB8" w:rsidP="00782FB8"/>
    <w:p w14:paraId="0C180275" w14:textId="77777777" w:rsidR="00782FB8" w:rsidRDefault="00782FB8" w:rsidP="00782FB8"/>
    <w:p w14:paraId="1022F934" w14:textId="77777777" w:rsidR="00782FB8" w:rsidRDefault="00782FB8" w:rsidP="00782FB8"/>
    <w:p w14:paraId="28BF0A4C" w14:textId="77777777" w:rsidR="00782FB8" w:rsidRDefault="00782FB8" w:rsidP="00782FB8"/>
    <w:p w14:paraId="43FAC73F" w14:textId="77777777" w:rsidR="00782FB8" w:rsidRDefault="00782FB8" w:rsidP="00782FB8"/>
    <w:p w14:paraId="06BA9A3A" w14:textId="77777777" w:rsidR="006D32EB" w:rsidRDefault="006D32EB" w:rsidP="00782FB8"/>
    <w:p w14:paraId="3FBB4A7C" w14:textId="77777777" w:rsidR="006D32EB" w:rsidRDefault="006D32EB" w:rsidP="00782FB8"/>
    <w:p w14:paraId="0F253F5B" w14:textId="48DFCE1C"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785E89">
        <w:rPr>
          <w:sz w:val="28"/>
        </w:rPr>
        <w:t>2</w:t>
      </w:r>
      <w:r w:rsidR="000A02E5">
        <w:rPr>
          <w:sz w:val="28"/>
        </w:rPr>
        <w:t>1</w:t>
      </w:r>
    </w:p>
    <w:p w14:paraId="22FC4467" w14:textId="77777777" w:rsidR="00C66C99" w:rsidRPr="00782FB8" w:rsidRDefault="006D32EB" w:rsidP="00C66C99">
      <w:pPr>
        <w:rPr>
          <w:b/>
        </w:rPr>
      </w:pPr>
      <w:r>
        <w:rPr>
          <w:b/>
        </w:rPr>
        <w:br w:type="page"/>
      </w:r>
      <w:r w:rsidR="00C66C99" w:rsidRPr="00782FB8">
        <w:rPr>
          <w:b/>
        </w:rPr>
        <w:lastRenderedPageBreak/>
        <w:t>Vorwort</w:t>
      </w:r>
    </w:p>
    <w:p w14:paraId="42D8DBB0" w14:textId="77777777" w:rsidR="00C66C99" w:rsidRDefault="00C66C99" w:rsidP="00C66C99"/>
    <w:p w14:paraId="1470D897" w14:textId="01ECEEC1" w:rsidR="00C66C99" w:rsidRDefault="00C66C99" w:rsidP="00C66C99">
      <w:pPr>
        <w:spacing w:before="240" w:line="360" w:lineRule="auto"/>
        <w:jc w:val="both"/>
      </w:pPr>
      <w:r>
        <w:t xml:space="preserve">Der Unternehmer schließt im Laufe seiner Geschäftstätigkeit eine Vielzahl von Verträgen ab. Um eine Orientierungshilfe zu bieten, stellen die </w:t>
      </w:r>
      <w:bookmarkStart w:id="0" w:name="_GoBack"/>
      <w:bookmarkEnd w:id="0"/>
      <w:r>
        <w:t>Industrie- und Handelskammern (IHKs) Musterverträge zur Verfügung.</w:t>
      </w:r>
    </w:p>
    <w:p w14:paraId="6127BA45" w14:textId="2550563D" w:rsidR="00C66C99" w:rsidRDefault="00A55816" w:rsidP="00A55816">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Pr="00EF3335">
        <w:t>Die </w:t>
      </w:r>
      <w:hyperlink r:id="rId13" w:history="1">
        <w:r w:rsidRPr="00EF3335">
          <w:rPr>
            <w:rStyle w:val="Hyperlink"/>
          </w:rPr>
          <w:t>Rechtsanwalts</w:t>
        </w:r>
        <w:r>
          <w:rPr>
            <w:rStyle w:val="Hyperlink"/>
          </w:rPr>
          <w:softHyphen/>
        </w:r>
        <w:r w:rsidRPr="00EF3335">
          <w:rPr>
            <w:rStyle w:val="Hyperlink"/>
          </w:rPr>
          <w:t>kam</w:t>
        </w:r>
        <w:r>
          <w:rPr>
            <w:rStyle w:val="Hyperlink"/>
          </w:rPr>
          <w:softHyphen/>
        </w:r>
        <w:r w:rsidRPr="00EF3335">
          <w:rPr>
            <w:rStyle w:val="Hyperlink"/>
          </w:rPr>
          <w:t>mern</w:t>
        </w:r>
      </w:hyperlink>
      <w:r w:rsidRPr="00EF3335">
        <w:t> oder der </w:t>
      </w:r>
      <w:hyperlink r:id="rId14" w:history="1">
        <w:r w:rsidRPr="00EF3335">
          <w:rPr>
            <w:rStyle w:val="Hyperlink"/>
          </w:rPr>
          <w:t>Deutsche Anwaltverein</w:t>
        </w:r>
      </w:hyperlink>
      <w:r w:rsidRPr="00EF3335">
        <w:t> sind Ihnen auf Wunsch gern bei der Anwaltssuche behilflich.</w:t>
      </w:r>
      <w:r w:rsidR="00C66C99">
        <w:tab/>
      </w:r>
    </w:p>
    <w:p w14:paraId="4C21CD05" w14:textId="77777777" w:rsidR="00C66C99" w:rsidRDefault="00C66C99" w:rsidP="00C66C99">
      <w:pPr>
        <w:pStyle w:val="Fuzeile"/>
        <w:tabs>
          <w:tab w:val="clear" w:pos="4536"/>
          <w:tab w:val="clear" w:pos="9072"/>
        </w:tabs>
        <w:jc w:val="both"/>
      </w:pPr>
    </w:p>
    <w:p w14:paraId="47C31E7E" w14:textId="77777777" w:rsidR="00C66C99" w:rsidRDefault="00C66C99" w:rsidP="00C66C99">
      <w:pPr>
        <w:pStyle w:val="Fuzeile"/>
        <w:tabs>
          <w:tab w:val="clear" w:pos="4536"/>
          <w:tab w:val="clear" w:pos="9072"/>
        </w:tabs>
        <w:jc w:val="both"/>
      </w:pPr>
    </w:p>
    <w:p w14:paraId="2375B446" w14:textId="77777777" w:rsidR="00C66C99" w:rsidRDefault="00C66C99" w:rsidP="00C66C99">
      <w:pPr>
        <w:pStyle w:val="Kopfzeile"/>
        <w:tabs>
          <w:tab w:val="clear" w:pos="4536"/>
          <w:tab w:val="clear" w:pos="9072"/>
        </w:tabs>
        <w:jc w:val="both"/>
      </w:pPr>
    </w:p>
    <w:p w14:paraId="75919580" w14:textId="77777777" w:rsidR="00C66C99" w:rsidRDefault="00C66C99" w:rsidP="00C66C99">
      <w:pPr>
        <w:pStyle w:val="Kopfzeile"/>
        <w:tabs>
          <w:tab w:val="clear" w:pos="4536"/>
          <w:tab w:val="clear" w:pos="9072"/>
        </w:tabs>
        <w:jc w:val="both"/>
      </w:pPr>
    </w:p>
    <w:p w14:paraId="6D2158EB" w14:textId="77777777" w:rsidR="00C66C99" w:rsidRDefault="00C66C99" w:rsidP="00C66C99">
      <w:pPr>
        <w:pStyle w:val="Kopfzeile"/>
        <w:tabs>
          <w:tab w:val="clear" w:pos="4536"/>
          <w:tab w:val="clear" w:pos="9072"/>
        </w:tabs>
        <w:jc w:val="both"/>
      </w:pPr>
    </w:p>
    <w:p w14:paraId="335D0E4E" w14:textId="77777777" w:rsidR="00C66C99" w:rsidRDefault="00C66C99" w:rsidP="00C66C99">
      <w:pPr>
        <w:spacing w:line="360" w:lineRule="auto"/>
        <w:jc w:val="both"/>
        <w:rPr>
          <w:b/>
        </w:rPr>
      </w:pPr>
      <w:r>
        <w:rPr>
          <w:b/>
        </w:rPr>
        <w:t xml:space="preserve">Hinweis zur Benutzung des Mustervertrages: </w:t>
      </w:r>
    </w:p>
    <w:p w14:paraId="13FAA593" w14:textId="77777777" w:rsidR="00C66C99" w:rsidRDefault="00C66C99" w:rsidP="00C66C99">
      <w:pPr>
        <w:spacing w:line="360" w:lineRule="auto"/>
        <w:jc w:val="both"/>
        <w:rPr>
          <w:b/>
        </w:rPr>
      </w:pPr>
    </w:p>
    <w:p w14:paraId="11AEA6B6" w14:textId="77777777" w:rsidR="00C66C99" w:rsidRDefault="00C66C99" w:rsidP="00C66C99">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C71F78">
        <w:t>der drei</w:t>
      </w:r>
      <w:r>
        <w:t xml:space="preserve"> Geschlechter verzichtet, wo eine geschlechtsneutrale Formulierung nicht möglich war. In diesen Fällen beziehen die verwendeten männlichen Begriffe die weiblichen </w:t>
      </w:r>
      <w:r w:rsidR="00C71F78">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743E5155" w14:textId="77777777" w:rsidR="00782FB8" w:rsidRDefault="00782FB8" w:rsidP="00C66C99"/>
    <w:p w14:paraId="15C31315" w14:textId="53EC747D" w:rsidR="00C16B81" w:rsidRPr="00D7604F" w:rsidRDefault="006D32EB" w:rsidP="0042118A">
      <w:pPr>
        <w:pStyle w:val="berschrift2"/>
      </w:pPr>
      <w:r>
        <w:br w:type="page"/>
      </w:r>
      <w:r w:rsidR="00C16B81" w:rsidRPr="00D7604F">
        <w:lastRenderedPageBreak/>
        <w:t>Allgemeine Verkaufsbedingungen</w:t>
      </w:r>
    </w:p>
    <w:p w14:paraId="77BFC100" w14:textId="77777777" w:rsidR="00C16B81" w:rsidRPr="0028231B" w:rsidRDefault="00C16B81" w:rsidP="00C16B81"/>
    <w:p w14:paraId="125C1BEF" w14:textId="77777777" w:rsidR="00C16B81" w:rsidRDefault="00C16B81" w:rsidP="00C16B81">
      <w:pPr>
        <w:rPr>
          <w:i/>
          <w:spacing w:val="11"/>
        </w:rPr>
      </w:pPr>
      <w:r>
        <w:rPr>
          <w:i/>
          <w:spacing w:val="11"/>
        </w:rPr>
        <w:t>[Text der auf der Vorderseite der Auftragsbestätigung gut lesbar eingedruckt werden soll]</w:t>
      </w:r>
    </w:p>
    <w:p w14:paraId="72A847E8" w14:textId="77777777" w:rsidR="00C16B81" w:rsidRPr="0028231B" w:rsidRDefault="00C16B81" w:rsidP="00C16B81"/>
    <w:p w14:paraId="3CDB964D" w14:textId="77777777" w:rsidR="00C16B81" w:rsidRDefault="00C16B81" w:rsidP="00C16B81">
      <w:pPr>
        <w:ind w:left="708"/>
        <w:rPr>
          <w:spacing w:val="11"/>
        </w:rPr>
      </w:pPr>
      <w:r>
        <w:rPr>
          <w:spacing w:val="11"/>
        </w:rPr>
        <w:t xml:space="preserve">Wir danken für Ihre Bestellung, die wir unter ausschließlicher </w:t>
      </w:r>
    </w:p>
    <w:p w14:paraId="4F21EE19" w14:textId="77777777" w:rsidR="00C16B81" w:rsidRDefault="00C16B81" w:rsidP="00C16B81">
      <w:pPr>
        <w:ind w:left="708"/>
        <w:rPr>
          <w:spacing w:val="11"/>
        </w:rPr>
      </w:pPr>
      <w:r>
        <w:rPr>
          <w:spacing w:val="11"/>
        </w:rPr>
        <w:t xml:space="preserve">Geltung der auf der Rückseite dieses Auftrags abgedruckten </w:t>
      </w:r>
    </w:p>
    <w:p w14:paraId="63B82506" w14:textId="77777777" w:rsidR="00C16B81" w:rsidRDefault="00C16B81" w:rsidP="00C16B81">
      <w:pPr>
        <w:ind w:left="708"/>
        <w:rPr>
          <w:spacing w:val="11"/>
        </w:rPr>
      </w:pPr>
      <w:r>
        <w:rPr>
          <w:spacing w:val="11"/>
        </w:rPr>
        <w:t>Liefer- und Zahlungsbedingungen annehmen.</w:t>
      </w:r>
    </w:p>
    <w:p w14:paraId="2A713F42" w14:textId="77777777" w:rsidR="00C16B81" w:rsidRPr="0028231B" w:rsidRDefault="00C16B81" w:rsidP="00C16B81"/>
    <w:p w14:paraId="559485EA" w14:textId="77777777" w:rsidR="00C16B81" w:rsidRDefault="00C16B81" w:rsidP="00C16B81">
      <w:pPr>
        <w:rPr>
          <w:i/>
          <w:spacing w:val="11"/>
        </w:rPr>
      </w:pPr>
      <w:r>
        <w:rPr>
          <w:i/>
          <w:spacing w:val="11"/>
        </w:rPr>
        <w:t>[Text der gut lesbar auf der Rückseite der Auftragsbestätigung abgedruckt werden sollte]</w:t>
      </w:r>
    </w:p>
    <w:p w14:paraId="27E73F7D" w14:textId="77777777" w:rsidR="003020E7" w:rsidRDefault="003020E7" w:rsidP="003020E7">
      <w:pPr>
        <w:rPr>
          <w:spacing w:val="11"/>
          <w:sz w:val="24"/>
          <w:szCs w:val="24"/>
        </w:rPr>
      </w:pPr>
    </w:p>
    <w:p w14:paraId="6D7B6CB5" w14:textId="77777777" w:rsidR="003020E7" w:rsidRPr="00D37D47" w:rsidRDefault="003020E7" w:rsidP="003020E7">
      <w:pPr>
        <w:rPr>
          <w:spacing w:val="11"/>
          <w:sz w:val="24"/>
          <w:szCs w:val="24"/>
        </w:rPr>
      </w:pPr>
      <w:r>
        <w:rPr>
          <w:b/>
          <w:sz w:val="20"/>
        </w:rPr>
        <w:t>Bitte beachten Sie die Anmerkungen im Anhang 1.</w:t>
      </w:r>
    </w:p>
    <w:p w14:paraId="2E719F3A" w14:textId="77777777" w:rsidR="00C16B81" w:rsidRDefault="00C16B81" w:rsidP="00C16B81">
      <w:pPr>
        <w:rPr>
          <w:spacing w:val="11"/>
        </w:rPr>
      </w:pPr>
    </w:p>
    <w:p w14:paraId="57F62EE3" w14:textId="25708812" w:rsidR="00C16B81" w:rsidRDefault="000A02E5" w:rsidP="00C16B81">
      <w:pPr>
        <w:ind w:left="2124" w:firstLine="708"/>
        <w:jc w:val="both"/>
        <w:rPr>
          <w:b/>
        </w:rPr>
      </w:pPr>
      <w:r>
        <w:rPr>
          <w:b/>
        </w:rPr>
        <w:t xml:space="preserve">I. </w:t>
      </w:r>
      <w:r w:rsidR="00C16B81">
        <w:rPr>
          <w:b/>
        </w:rPr>
        <w:t xml:space="preserve">Geltungsbereich </w:t>
      </w:r>
    </w:p>
    <w:p w14:paraId="1A71AADC" w14:textId="77777777" w:rsidR="00C16B81" w:rsidRDefault="00C16B81" w:rsidP="00C16B81"/>
    <w:p w14:paraId="15B47F15" w14:textId="6E4BBBC7" w:rsidR="00C16B81" w:rsidRDefault="00C16B81" w:rsidP="00C16B81">
      <w:pPr>
        <w:numPr>
          <w:ilvl w:val="0"/>
          <w:numId w:val="1"/>
        </w:numPr>
        <w:ind w:left="426" w:hanging="426"/>
        <w:jc w:val="both"/>
      </w:pPr>
      <w:r>
        <w:t xml:space="preserve">Diese Verkaufsbedingungen gelten ausschließlich gegenüber Unternehmern, juristischen Personen des öffentlichen Rechts oder öffentlich-rechtlichen Sondervermögen im Sinne von </w:t>
      </w:r>
      <w:r w:rsidR="000A02E5">
        <w:t xml:space="preserve">Paragraf </w:t>
      </w:r>
      <w:r>
        <w:t xml:space="preserve">310 Absatz 1 BGB. Entgegenstehende oder von unseren Verkaufsbedingungen abweichende Bedingungen des Bestellers erkennen wir nur an, wenn wir ausdrücklich schriftlich der Geltung zustimmen. </w:t>
      </w:r>
    </w:p>
    <w:p w14:paraId="487C1535" w14:textId="77777777" w:rsidR="00C16B81" w:rsidRDefault="00C16B81" w:rsidP="00C16B81">
      <w:pPr>
        <w:jc w:val="both"/>
      </w:pPr>
    </w:p>
    <w:p w14:paraId="5B465E28" w14:textId="77777777" w:rsidR="00C16B81" w:rsidRDefault="00C16B81" w:rsidP="00C16B81">
      <w:pPr>
        <w:numPr>
          <w:ilvl w:val="0"/>
          <w:numId w:val="1"/>
        </w:numPr>
        <w:ind w:left="426" w:hanging="426"/>
        <w:jc w:val="both"/>
      </w:pPr>
      <w:r>
        <w:t xml:space="preserve">Diese Verkaufsbedingungen gelten auch für alle zukünftigen Geschäfte mit dem Besteller, soweit es sich um Rechtsgeschäfte verwandter Art handelt </w:t>
      </w:r>
      <w:r w:rsidRPr="001273C3">
        <w:t>(vorsorglich sollten die Verkaufsbedingungen in jedem Fall der Auftragsbestätigung beigefügt werden)</w:t>
      </w:r>
      <w:r>
        <w:t>.</w:t>
      </w:r>
    </w:p>
    <w:p w14:paraId="3596FE72" w14:textId="77777777" w:rsidR="00C16B81" w:rsidRDefault="00C16B81" w:rsidP="00C16B81"/>
    <w:p w14:paraId="7CAC340D" w14:textId="77777777" w:rsidR="00734C8A" w:rsidRDefault="00734C8A" w:rsidP="00734C8A">
      <w:pPr>
        <w:numPr>
          <w:ilvl w:val="0"/>
          <w:numId w:val="1"/>
        </w:numPr>
        <w:ind w:left="426" w:hanging="426"/>
        <w:jc w:val="both"/>
      </w:pPr>
      <w:r w:rsidRPr="001D22C9">
        <w:t>Im Einzelfall getroffene, individuelle Vereinbarungen mit dem Käufer (einschließlich Nebenabreden, Ergänzungen und Änderungen) haben in j</w:t>
      </w:r>
      <w:r>
        <w:t>edem Fall Vorrang vor diesen Verkaufsbedingungen</w:t>
      </w:r>
      <w:r w:rsidRPr="001D22C9">
        <w:t>. Für den Inhalt derartiger Vereinbarungen ist, vorbehaltlich des Gegenbeweises, ein schriftlicher Vertrag bzw. unsere schriftliche Bestätigung maßgebend.</w:t>
      </w:r>
    </w:p>
    <w:p w14:paraId="7555D25A" w14:textId="77777777" w:rsidR="00C16B81" w:rsidRDefault="00C16B81" w:rsidP="00C16B81">
      <w:pPr>
        <w:jc w:val="both"/>
      </w:pPr>
    </w:p>
    <w:p w14:paraId="7873BBCE" w14:textId="16212314" w:rsidR="00C16B81" w:rsidRDefault="000A02E5" w:rsidP="00C16B81">
      <w:pPr>
        <w:ind w:left="2124" w:firstLine="708"/>
        <w:jc w:val="both"/>
        <w:rPr>
          <w:b/>
        </w:rPr>
      </w:pPr>
      <w:r>
        <w:rPr>
          <w:b/>
        </w:rPr>
        <w:t>II.</w:t>
      </w:r>
      <w:r w:rsidR="00C16B81">
        <w:rPr>
          <w:b/>
        </w:rPr>
        <w:t xml:space="preserve"> Angebot und Vertragsabschluss</w:t>
      </w:r>
    </w:p>
    <w:p w14:paraId="0AF8CA72" w14:textId="77777777" w:rsidR="00C16B81" w:rsidRDefault="00C16B81" w:rsidP="00C16B81"/>
    <w:p w14:paraId="057B2D97" w14:textId="5052E432" w:rsidR="00C16B81" w:rsidRDefault="00C16B81" w:rsidP="00C16B81">
      <w:pPr>
        <w:jc w:val="both"/>
      </w:pPr>
      <w:r>
        <w:t xml:space="preserve">Sofern eine Bestellung als Angebot gemäß </w:t>
      </w:r>
      <w:r w:rsidR="000A02E5">
        <w:t>Paragraf</w:t>
      </w:r>
      <w:r>
        <w:t xml:space="preserve"> 145 BGB anzusehen ist, können wir diese innerhalb von zwei Wochen annehmen.</w:t>
      </w:r>
    </w:p>
    <w:p w14:paraId="6190B9D8" w14:textId="77777777" w:rsidR="00C16B81" w:rsidRDefault="00C16B81" w:rsidP="00C16B81"/>
    <w:p w14:paraId="083671F5" w14:textId="77777777" w:rsidR="00C16B81" w:rsidRDefault="00C16B81" w:rsidP="00C16B81">
      <w:pPr>
        <w:jc w:val="both"/>
      </w:pPr>
    </w:p>
    <w:p w14:paraId="2BBE795B" w14:textId="0819A85D" w:rsidR="00C16B81" w:rsidRDefault="000A02E5" w:rsidP="00C16B81">
      <w:pPr>
        <w:ind w:left="2124" w:firstLine="708"/>
        <w:jc w:val="both"/>
        <w:rPr>
          <w:b/>
        </w:rPr>
      </w:pPr>
      <w:r>
        <w:rPr>
          <w:b/>
        </w:rPr>
        <w:t>III.</w:t>
      </w:r>
      <w:r w:rsidR="00C16B81">
        <w:rPr>
          <w:b/>
        </w:rPr>
        <w:t xml:space="preserve"> Überlassene Unterlagen</w:t>
      </w:r>
    </w:p>
    <w:p w14:paraId="4542581F" w14:textId="77777777" w:rsidR="00C16B81" w:rsidRDefault="00C16B81" w:rsidP="00C16B81"/>
    <w:p w14:paraId="1D3B82B8" w14:textId="49D49309" w:rsidR="00C16B81" w:rsidRDefault="00C16B81" w:rsidP="00C16B81">
      <w:pPr>
        <w:jc w:val="both"/>
      </w:pPr>
      <w:r>
        <w:t>An allen in Zusammenhang mit der Auftragserteilung dem Besteller überlassenen Unterlagen</w:t>
      </w:r>
      <w:r w:rsidR="00734C8A">
        <w:t xml:space="preserve"> </w:t>
      </w:r>
      <w:r w:rsidR="00734C8A" w:rsidRPr="00B26578">
        <w:t>– auch in elektronischer Form –</w:t>
      </w:r>
      <w:r>
        <w:t xml:space="preserve">, wie z. B. Kalkulationen, Zeichnungen etc., behalten wir uns Eigentums- und Urheberrechte vor. Diese Unterlagen dürfen Dritten nicht zugänglich gemacht werden, es sei denn, wir erteilen dazu dem Besteller unsere ausdrückliche schriftliche Zustimmung. Soweit wir das Angebot des Bestellers nicht innerhalb der Frist von </w:t>
      </w:r>
      <w:r w:rsidR="000A02E5">
        <w:t>Abschnitt II</w:t>
      </w:r>
      <w:r>
        <w:t xml:space="preserve"> annehmen, sind diese Unterlagen uns unverzüglich zurückzusenden.</w:t>
      </w:r>
    </w:p>
    <w:p w14:paraId="0F127E13" w14:textId="77777777" w:rsidR="00C16B81" w:rsidRDefault="00C16B81" w:rsidP="00C16B81"/>
    <w:p w14:paraId="537B5F57" w14:textId="77777777" w:rsidR="00C16B81" w:rsidRDefault="00C16B81" w:rsidP="00C16B81">
      <w:pPr>
        <w:jc w:val="both"/>
      </w:pPr>
    </w:p>
    <w:p w14:paraId="3F056E8A" w14:textId="456A6067" w:rsidR="00C16B81" w:rsidRDefault="000A02E5" w:rsidP="00C16B81">
      <w:pPr>
        <w:ind w:left="2124" w:firstLine="708"/>
        <w:jc w:val="both"/>
        <w:rPr>
          <w:b/>
        </w:rPr>
      </w:pPr>
      <w:r>
        <w:rPr>
          <w:b/>
        </w:rPr>
        <w:t>IV.</w:t>
      </w:r>
      <w:r w:rsidR="00C16B81">
        <w:rPr>
          <w:b/>
        </w:rPr>
        <w:t xml:space="preserve"> Preise und Zahlung</w:t>
      </w:r>
    </w:p>
    <w:p w14:paraId="4E6E671E" w14:textId="77777777" w:rsidR="00C16B81" w:rsidRDefault="00C16B81" w:rsidP="00C16B81">
      <w:pPr>
        <w:jc w:val="both"/>
      </w:pPr>
    </w:p>
    <w:p w14:paraId="7C76D292" w14:textId="77777777" w:rsidR="00734C8A" w:rsidRDefault="00C16B81" w:rsidP="00734C8A">
      <w:pPr>
        <w:pStyle w:val="Textkrper2"/>
        <w:numPr>
          <w:ilvl w:val="0"/>
          <w:numId w:val="2"/>
        </w:numPr>
        <w:spacing w:line="240" w:lineRule="auto"/>
        <w:ind w:left="426" w:hanging="426"/>
        <w:jc w:val="both"/>
      </w:pPr>
      <w:r>
        <w:t>Sofern nichts Gegenteiliges schriftlich vereinbart wird, gelten unsere Preise ab Werk ausschließlich Verpackung und zuzüglich Mehrwertsteuer in jeweils gültiger Höhe. Kosten der Verpackung werden gesondert in Rechnung gestellt.</w:t>
      </w:r>
    </w:p>
    <w:p w14:paraId="757921B9" w14:textId="77777777" w:rsidR="00734C8A" w:rsidRPr="00734C8A" w:rsidRDefault="00734C8A" w:rsidP="00734C8A">
      <w:pPr>
        <w:pStyle w:val="Textkrper2"/>
        <w:spacing w:line="240" w:lineRule="auto"/>
        <w:ind w:left="426"/>
        <w:jc w:val="both"/>
        <w:rPr>
          <w:b/>
          <w:sz w:val="20"/>
        </w:rPr>
      </w:pPr>
    </w:p>
    <w:p w14:paraId="4B37BE84" w14:textId="77777777" w:rsidR="00C16B81" w:rsidRDefault="00C16B81" w:rsidP="00C16B81">
      <w:pPr>
        <w:numPr>
          <w:ilvl w:val="0"/>
          <w:numId w:val="2"/>
        </w:numPr>
        <w:ind w:left="426" w:hanging="426"/>
        <w:jc w:val="both"/>
      </w:pPr>
      <w:r>
        <w:lastRenderedPageBreak/>
        <w:t>Die Zahlung des Kaufpreises hat ausschließlich auf das umseitig genannte Konto zu erfolgen. Der Abzug von Skonto ist nur bei schriftlicher besonderer Vereinbarung zulässig.</w:t>
      </w:r>
    </w:p>
    <w:p w14:paraId="349499EE" w14:textId="77777777" w:rsidR="00C16B81" w:rsidRDefault="00C16B81" w:rsidP="00C16B81">
      <w:pPr>
        <w:rPr>
          <w:b/>
          <w:sz w:val="20"/>
        </w:rPr>
      </w:pPr>
    </w:p>
    <w:p w14:paraId="54FFA47D" w14:textId="207BBE1F" w:rsidR="00C16B81" w:rsidRDefault="00C16B81" w:rsidP="00C16B81">
      <w:pPr>
        <w:numPr>
          <w:ilvl w:val="0"/>
          <w:numId w:val="2"/>
        </w:numPr>
        <w:ind w:left="426" w:hanging="426"/>
        <w:jc w:val="both"/>
      </w:pPr>
      <w:r>
        <w:t xml:space="preserve">Sofern </w:t>
      </w:r>
      <w:r w:rsidR="000A02E5" w:rsidRPr="000A02E5">
        <w:t xml:space="preserve">nichts anderes vereinbart wird, ist der Kaufpreis bis zum - </w:t>
      </w:r>
      <w:r w:rsidR="000A02E5" w:rsidRPr="000A02E5">
        <w:rPr>
          <w:i/>
          <w:iCs/>
        </w:rPr>
        <w:t>konkretes Datum</w:t>
      </w:r>
      <w:r w:rsidR="000A02E5" w:rsidRPr="000A02E5">
        <w:t xml:space="preserve"> – zu zahlen (</w:t>
      </w:r>
      <w:r w:rsidR="000A02E5" w:rsidRPr="000A02E5">
        <w:rPr>
          <w:i/>
          <w:iCs/>
        </w:rPr>
        <w:t>Alternativen: „… innerhalb von 10 Tagen nach Lieferung zu zahlen“, oder „... innerhalb von 21 Tagen nach Rechnungsstellung zahlbar“</w:t>
      </w:r>
      <w:r w:rsidR="000A02E5" w:rsidRPr="000A02E5">
        <w:t xml:space="preserve">). Verzugszinsen werden in Höhe von 8 % über dem jeweiligen Basiszinssatz p.a. </w:t>
      </w:r>
      <w:r w:rsidR="000A02E5" w:rsidRPr="000A02E5">
        <w:rPr>
          <w:i/>
          <w:iCs/>
        </w:rPr>
        <w:t xml:space="preserve">(siehe Anlage 1) </w:t>
      </w:r>
      <w:r w:rsidR="000A02E5" w:rsidRPr="000A02E5">
        <w:t>berechnet. Die Geltendmachung eines höheren Verzugsschadens bleibt vorbehalten.</w:t>
      </w:r>
    </w:p>
    <w:p w14:paraId="55D7FBAC" w14:textId="77777777" w:rsidR="000A02E5" w:rsidRDefault="000A02E5" w:rsidP="000A02E5">
      <w:pPr>
        <w:jc w:val="both"/>
      </w:pPr>
    </w:p>
    <w:p w14:paraId="6E56250D" w14:textId="77777777" w:rsidR="00C16B81" w:rsidRDefault="00C16B81" w:rsidP="00C16B81">
      <w:pPr>
        <w:numPr>
          <w:ilvl w:val="0"/>
          <w:numId w:val="2"/>
        </w:numPr>
        <w:ind w:left="426" w:hanging="426"/>
        <w:jc w:val="both"/>
      </w:pPr>
      <w:r>
        <w:t>Sofern keine Festpreisabrede getroffen wurde, bleiben angemessene Preisänderungen wegen veränderter Lohn-, Material- und Vertriebskosten für Lieferungen, die 3 Monate oder später nach Vertragsabschluss erfolgen, vorbehalten.</w:t>
      </w:r>
    </w:p>
    <w:p w14:paraId="79D85529" w14:textId="77777777" w:rsidR="00C16B81" w:rsidRDefault="00C16B81" w:rsidP="00C16B81">
      <w:pPr>
        <w:jc w:val="both"/>
      </w:pPr>
    </w:p>
    <w:p w14:paraId="7B480665" w14:textId="77777777" w:rsidR="00C16B81" w:rsidRDefault="00C16B81" w:rsidP="00C16B81">
      <w:pPr>
        <w:jc w:val="both"/>
      </w:pPr>
    </w:p>
    <w:p w14:paraId="152A3E50" w14:textId="494C6C5A" w:rsidR="00C16B81" w:rsidRDefault="000A02E5" w:rsidP="00C16B81">
      <w:pPr>
        <w:ind w:left="2124" w:firstLine="708"/>
        <w:jc w:val="both"/>
        <w:rPr>
          <w:b/>
        </w:rPr>
      </w:pPr>
      <w:r>
        <w:rPr>
          <w:b/>
        </w:rPr>
        <w:t>V.</w:t>
      </w:r>
      <w:r w:rsidR="00C16B81">
        <w:rPr>
          <w:b/>
        </w:rPr>
        <w:t xml:space="preserve"> Zurückbehaltungsrechte</w:t>
      </w:r>
    </w:p>
    <w:p w14:paraId="10A55304" w14:textId="77777777" w:rsidR="00C16B81" w:rsidRDefault="00C16B81" w:rsidP="00C16B81">
      <w:pPr>
        <w:jc w:val="both"/>
      </w:pPr>
    </w:p>
    <w:p w14:paraId="316E6CA9" w14:textId="77777777" w:rsidR="00C16B81" w:rsidRDefault="00C16B81" w:rsidP="00C16B81">
      <w:pPr>
        <w:jc w:val="both"/>
      </w:pPr>
      <w:r>
        <w:t xml:space="preserve"> Zur Ausübung eines Zurückbehaltungsrechts ist der Besteller nur insoweit befugt, als sein Gegenanspruch auf dem gleichen Vertragsverhältnis beruht.</w:t>
      </w:r>
    </w:p>
    <w:p w14:paraId="744B6FAD" w14:textId="77777777" w:rsidR="00C16B81" w:rsidRDefault="00C16B81" w:rsidP="00C16B81">
      <w:pPr>
        <w:jc w:val="both"/>
      </w:pPr>
    </w:p>
    <w:p w14:paraId="0D08295A" w14:textId="77777777" w:rsidR="00C16B81" w:rsidRDefault="00C16B81" w:rsidP="00C16B81">
      <w:pPr>
        <w:jc w:val="both"/>
      </w:pPr>
    </w:p>
    <w:p w14:paraId="0D270B95" w14:textId="3F25C5E8" w:rsidR="00C16B81" w:rsidRDefault="000A02E5" w:rsidP="00C16B81">
      <w:pPr>
        <w:ind w:left="2124" w:firstLine="708"/>
        <w:jc w:val="both"/>
        <w:rPr>
          <w:b/>
        </w:rPr>
      </w:pPr>
      <w:r>
        <w:rPr>
          <w:b/>
        </w:rPr>
        <w:t>VI.</w:t>
      </w:r>
      <w:r w:rsidR="00C16B81">
        <w:rPr>
          <w:b/>
        </w:rPr>
        <w:t xml:space="preserve"> Lieferzeit</w:t>
      </w:r>
    </w:p>
    <w:p w14:paraId="2DF41B36" w14:textId="77777777" w:rsidR="00C16B81" w:rsidRPr="00AE2A5C" w:rsidRDefault="00C16B81" w:rsidP="00C16B81">
      <w:pPr>
        <w:jc w:val="both"/>
      </w:pPr>
    </w:p>
    <w:p w14:paraId="08C4B66B" w14:textId="77777777" w:rsidR="00C16B81" w:rsidRDefault="00C16B81" w:rsidP="00C16B81">
      <w:pPr>
        <w:numPr>
          <w:ilvl w:val="0"/>
          <w:numId w:val="3"/>
        </w:numPr>
        <w:ind w:left="426" w:hanging="426"/>
        <w:jc w:val="both"/>
      </w:pPr>
      <w:r>
        <w:t>Der Beginn der von uns angegebenen Lieferzeit setzt die rechtzeitige und ordnungsgemäße Erfüllung der Verpflichtungen des Bestellers voraus. Die Einrede des nicht erfüllten Vertrages bleibt vorbehalten.</w:t>
      </w:r>
    </w:p>
    <w:p w14:paraId="7D96EB81" w14:textId="77777777" w:rsidR="00C16B81" w:rsidRDefault="00C16B81" w:rsidP="00C16B81">
      <w:pPr>
        <w:ind w:left="426"/>
        <w:jc w:val="both"/>
      </w:pPr>
    </w:p>
    <w:p w14:paraId="21D59C64" w14:textId="77777777" w:rsidR="00C16B81" w:rsidRPr="00515A3E" w:rsidRDefault="00C16B81" w:rsidP="00C16B81">
      <w:pPr>
        <w:numPr>
          <w:ilvl w:val="0"/>
          <w:numId w:val="3"/>
        </w:numPr>
        <w:ind w:left="426" w:hanging="426"/>
        <w:jc w:val="both"/>
      </w:pPr>
      <w:r>
        <w:t>Kommt der Besteller in Annahmeverzug oder verletzt er schuldhaft sonstige Mitwirkungspflichten, so sind wir berechtigt, den uns insoweit entstehenden Schaden, einschließlich etwaiger Mehraufwendungen ersetzt zu verlangen. Weitergehende Ansprüche bleiben vorbehalten. Sofern vorstehende Voraussetzungen vorliegen, geht die Gefahr eines zufälligen Untergangs oder einer zufälligen Verschlechterung der Kaufsache in dem Zeitpunkt auf den Besteller über, in dem dieser in Annahme- oder Schuldnerverzug geraten ist.</w:t>
      </w:r>
    </w:p>
    <w:p w14:paraId="1ADD6ACB" w14:textId="77777777" w:rsidR="00C16B81" w:rsidRDefault="00C16B81" w:rsidP="00C16B81">
      <w:pPr>
        <w:ind w:left="426"/>
        <w:jc w:val="both"/>
      </w:pPr>
    </w:p>
    <w:p w14:paraId="3B56A5A5" w14:textId="77777777" w:rsidR="00C16B81" w:rsidRPr="00515A3E" w:rsidRDefault="00C16B81" w:rsidP="00C16B81">
      <w:pPr>
        <w:numPr>
          <w:ilvl w:val="0"/>
          <w:numId w:val="3"/>
        </w:numPr>
        <w:ind w:left="426" w:hanging="426"/>
        <w:jc w:val="both"/>
      </w:pPr>
      <w:r>
        <w:t>Wir haften im Fall des von uns nicht vorsätzlich oder grob fahrlässig herbeigeführten Lieferverzugs für jede vollendete Woche Verzug im Rahmen einer pauschalierten Verzugsentschädigung in Höhe von 3 % des Lieferwertes, maximal jedoch nicht mehr als 15 % des Lieferwertes.</w:t>
      </w:r>
    </w:p>
    <w:p w14:paraId="061D71C1" w14:textId="77777777" w:rsidR="00C16B81" w:rsidRPr="00515A3E" w:rsidRDefault="00C16B81" w:rsidP="00C16B81">
      <w:pPr>
        <w:ind w:left="426"/>
        <w:jc w:val="both"/>
      </w:pPr>
    </w:p>
    <w:p w14:paraId="32A19F2E" w14:textId="77777777" w:rsidR="00C16B81" w:rsidRPr="00515A3E" w:rsidRDefault="00C16B81" w:rsidP="00C16B81">
      <w:pPr>
        <w:numPr>
          <w:ilvl w:val="0"/>
          <w:numId w:val="3"/>
        </w:numPr>
        <w:ind w:left="426" w:hanging="426"/>
        <w:jc w:val="both"/>
      </w:pPr>
      <w:r>
        <w:t>Weitere gesetzliche Ansprüche und Rechte des Bestellers wegen eines Lieferverzuges bleiben unberührt.</w:t>
      </w:r>
    </w:p>
    <w:p w14:paraId="7D6465AC" w14:textId="77777777" w:rsidR="00C16B81" w:rsidRDefault="00C16B81" w:rsidP="00C16B81">
      <w:pPr>
        <w:jc w:val="both"/>
      </w:pPr>
    </w:p>
    <w:p w14:paraId="0F9D8002" w14:textId="77777777" w:rsidR="00C16B81" w:rsidRDefault="00C16B81" w:rsidP="00C16B81">
      <w:pPr>
        <w:jc w:val="both"/>
      </w:pPr>
    </w:p>
    <w:p w14:paraId="28447E68" w14:textId="733EF83E" w:rsidR="00C16B81" w:rsidRDefault="000A02E5" w:rsidP="00C16B81">
      <w:pPr>
        <w:ind w:left="2124" w:firstLine="708"/>
        <w:jc w:val="both"/>
        <w:rPr>
          <w:b/>
        </w:rPr>
      </w:pPr>
      <w:r>
        <w:rPr>
          <w:b/>
        </w:rPr>
        <w:t>VII.</w:t>
      </w:r>
      <w:r w:rsidR="00C16B81">
        <w:rPr>
          <w:b/>
        </w:rPr>
        <w:t xml:space="preserve"> Gefahrübergang bei Versendung</w:t>
      </w:r>
    </w:p>
    <w:p w14:paraId="66B21FAA" w14:textId="77777777" w:rsidR="00C16B81" w:rsidRDefault="00C16B81" w:rsidP="00C16B81">
      <w:pPr>
        <w:jc w:val="both"/>
      </w:pPr>
    </w:p>
    <w:p w14:paraId="5A75AC53" w14:textId="77777777" w:rsidR="00C16B81" w:rsidRDefault="00C16B81" w:rsidP="00C16B81">
      <w:pPr>
        <w:jc w:val="both"/>
      </w:pPr>
      <w:r>
        <w:t>Wird die Ware auf Wunsch des Bestellers an diesen versandt, so geht mit der Absendung an den Besteller, spätestens mit Verlassen des Werks/Lagers die Gefahr des zufälligen Untergangs oder der zufälligen Verschlechterung der Ware auf den Besteller über. Dies gilt unabhängig davon, ob die Versendung der Ware vom Erfüllungsort erfolgt oder wer die Frachtkosten trägt.</w:t>
      </w:r>
    </w:p>
    <w:p w14:paraId="6F60D7BF" w14:textId="77777777" w:rsidR="00C16B81" w:rsidRDefault="00C16B81" w:rsidP="00C16B81">
      <w:pPr>
        <w:jc w:val="both"/>
      </w:pPr>
    </w:p>
    <w:p w14:paraId="7141B44B" w14:textId="77777777" w:rsidR="00C16B81" w:rsidRDefault="00C16B81" w:rsidP="00C16B81">
      <w:pPr>
        <w:jc w:val="both"/>
      </w:pPr>
    </w:p>
    <w:p w14:paraId="00AE8F78" w14:textId="0AAB83D0" w:rsidR="00C16B81" w:rsidRDefault="00C16B81" w:rsidP="00C16B81">
      <w:pPr>
        <w:ind w:left="2832"/>
        <w:jc w:val="both"/>
      </w:pPr>
      <w:r>
        <w:rPr>
          <w:b/>
        </w:rPr>
        <w:br w:type="page"/>
      </w:r>
      <w:r w:rsidR="000A02E5">
        <w:rPr>
          <w:b/>
        </w:rPr>
        <w:lastRenderedPageBreak/>
        <w:t>VIII.</w:t>
      </w:r>
      <w:r>
        <w:rPr>
          <w:b/>
        </w:rPr>
        <w:t xml:space="preserve"> Eigentumsvorbehalt </w:t>
      </w:r>
    </w:p>
    <w:p w14:paraId="43C2A990" w14:textId="77777777" w:rsidR="00C16B81" w:rsidRDefault="00C16B81" w:rsidP="00C16B81">
      <w:pPr>
        <w:jc w:val="both"/>
      </w:pPr>
    </w:p>
    <w:p w14:paraId="1DEFD148" w14:textId="750168EF" w:rsidR="00C16B81" w:rsidRDefault="00C16B81" w:rsidP="00C16B81">
      <w:pPr>
        <w:numPr>
          <w:ilvl w:val="0"/>
          <w:numId w:val="4"/>
        </w:numPr>
        <w:ind w:left="426" w:hanging="426"/>
        <w:jc w:val="both"/>
      </w:pPr>
      <w:r>
        <w:t>Wir behalten uns das Eigentum an der gelieferten Sache bis zur vollständigen Zahlung sämtlicher Forderungen aus dem Liefervertrag vor. Dies gilt auch für alle zukünftigen Lieferungen, auch wenn wir uns nicht stets ausdrücklich hierauf berufen. Wir sind berechtigt, die Kaufsache zurückzu</w:t>
      </w:r>
      <w:r w:rsidR="000A02E5">
        <w:t>fordern,</w:t>
      </w:r>
      <w:r>
        <w:t xml:space="preserve"> wenn der Besteller sich vertragswidrig verhält.</w:t>
      </w:r>
    </w:p>
    <w:p w14:paraId="143C7F8A" w14:textId="77777777" w:rsidR="00C16B81" w:rsidRDefault="00C16B81" w:rsidP="00C16B81">
      <w:pPr>
        <w:ind w:left="426"/>
        <w:jc w:val="both"/>
      </w:pPr>
    </w:p>
    <w:p w14:paraId="6FF59670" w14:textId="0024ABF9" w:rsidR="00C16B81" w:rsidRDefault="00C16B81" w:rsidP="00C16B81">
      <w:pPr>
        <w:numPr>
          <w:ilvl w:val="0"/>
          <w:numId w:val="4"/>
        </w:numPr>
        <w:ind w:left="426" w:hanging="426"/>
        <w:jc w:val="both"/>
      </w:pPr>
      <w:r>
        <w:t xml:space="preserve">Der Besteller ist verpflichtet, solange das Eigentum noch nicht auf ihn übergegangen ist, die Kaufsache pfleglich zu behandeln. Insbesondere ist er verpflichtet, diese auf eigene Kosten gegen Diebstahl-, Feuer- und Wasserschäden ausreichend zum Neuwert zu versichern </w:t>
      </w:r>
      <w:r w:rsidRPr="000A02E5">
        <w:rPr>
          <w:i/>
          <w:iCs/>
        </w:rPr>
        <w:t>(Hinweis: nur zulässig bei Verkauf hochwertiger Güter)</w:t>
      </w:r>
      <w:r>
        <w:t xml:space="preserve">. Müssen Wartungs- und Inspektionsarbeiten durchgeführt werden, hat der Besteller diese auf eigene Kosten rechtzeitig auszuführen. Solange das Eigentum noch nicht übergegangen ist, hat uns der Besteller unverzüglich schriftlich zu benachrichtigen, wenn der gelieferte Gegenstand gepfändet oder sonstigen Eingriffen Dritter ausgesetzt ist. Soweit der Dritte nicht in der Lage ist, uns die gerichtlichen und außergerichtlichen Kosten einer Klage gemäß </w:t>
      </w:r>
      <w:r w:rsidR="000A02E5">
        <w:t>Paragraf</w:t>
      </w:r>
      <w:r>
        <w:t xml:space="preserve"> 771 ZPO zu erstatten, haftet der Besteller für den uns entstandenen Ausfall. </w:t>
      </w:r>
    </w:p>
    <w:p w14:paraId="3B994791" w14:textId="77777777" w:rsidR="00C16B81" w:rsidRDefault="00C16B81" w:rsidP="00C16B81">
      <w:pPr>
        <w:ind w:left="426"/>
        <w:jc w:val="both"/>
      </w:pPr>
    </w:p>
    <w:p w14:paraId="025B4957" w14:textId="793ABED9" w:rsidR="00C16B81" w:rsidRDefault="00C16B81" w:rsidP="00C16B81">
      <w:pPr>
        <w:numPr>
          <w:ilvl w:val="0"/>
          <w:numId w:val="4"/>
        </w:numPr>
        <w:ind w:left="426" w:hanging="426"/>
        <w:jc w:val="both"/>
      </w:pPr>
      <w:r>
        <w:t xml:space="preserve">Der Besteller ist zur Weiterveräußerung der Vorbehaltsware im normalen Geschäftsverkehr berechtigt. Die Forderungen gegenüber dem Abnehmer aus der Weiterveräußerung der Vorbehaltsware tritt der Besteller schon jetzt an uns in Höhe des mit uns vereinbarten Faktura-Endbetrages (einschließlich Mehrwertsteuer) ab. Diese Abtretung gilt unabhängig davon, ob die Kaufsache ohne oder nach Verarbeitung weiterverkauft worden ist. Der Besteller bleibt zur Einziehung der Forderung auch nach der Abtretung ermächtigt. Unsere Befugnis, die Forderung selbst einzuziehen, bleibt davon unberührt. Wir werden jedoch die Forderung nicht einziehen, solange der Besteller seinen Zahlungsverpflichtungen aus den vereinnahmten Erlösen nachkommt, nicht in Zahlungsverzug ist und insbesondere kein Antrag auf Eröffnung eines Insolvenzverfahrens gestellt ist oder Zahlungseinstellung vorliegt. </w:t>
      </w:r>
      <w:r w:rsidR="000A02E5" w:rsidRPr="000A02E5">
        <w:rPr>
          <w:i/>
          <w:iCs/>
        </w:rPr>
        <w:t>(</w:t>
      </w:r>
      <w:r w:rsidRPr="000A02E5">
        <w:rPr>
          <w:i/>
          <w:iCs/>
        </w:rPr>
        <w:t>Anmerkung: Diese Klausel entfällt, wenn kein verlängerter Eigentumsvorbehalt gewollt ist.</w:t>
      </w:r>
      <w:r w:rsidR="000A02E5" w:rsidRPr="000A02E5">
        <w:rPr>
          <w:i/>
          <w:iCs/>
        </w:rPr>
        <w:t>)</w:t>
      </w:r>
    </w:p>
    <w:p w14:paraId="031942E9" w14:textId="77777777" w:rsidR="00C16B81" w:rsidRDefault="00C16B81" w:rsidP="00C16B81">
      <w:pPr>
        <w:ind w:left="426"/>
        <w:jc w:val="both"/>
      </w:pPr>
    </w:p>
    <w:p w14:paraId="7B288FE1" w14:textId="7A22AD88" w:rsidR="00C16B81" w:rsidRDefault="00C16B81" w:rsidP="00C16B81">
      <w:pPr>
        <w:numPr>
          <w:ilvl w:val="0"/>
          <w:numId w:val="4"/>
        </w:numPr>
        <w:ind w:left="426" w:hanging="426"/>
        <w:jc w:val="both"/>
      </w:pPr>
      <w:r>
        <w:t xml:space="preserve">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w:t>
      </w:r>
      <w:r w:rsidR="000A02E5">
        <w:t>bereits</w:t>
      </w:r>
      <w:r>
        <w:t xml:space="preserve"> jetzt an.</w:t>
      </w:r>
    </w:p>
    <w:p w14:paraId="5E249428" w14:textId="77777777" w:rsidR="00C16B81" w:rsidRDefault="00C16B81" w:rsidP="00C16B81">
      <w:pPr>
        <w:ind w:left="426"/>
        <w:jc w:val="both"/>
      </w:pPr>
    </w:p>
    <w:p w14:paraId="3C54AA9B" w14:textId="77777777" w:rsidR="00C16B81" w:rsidRDefault="00C16B81" w:rsidP="00C16B81">
      <w:pPr>
        <w:numPr>
          <w:ilvl w:val="0"/>
          <w:numId w:val="4"/>
        </w:numPr>
        <w:ind w:left="426" w:hanging="426"/>
        <w:jc w:val="both"/>
      </w:pPr>
      <w:r>
        <w:t>Wir verpflichten uns, die uns zustehenden Sicherheiten auf Verlangen des Bestellers freizugeben, soweit ihr Wert die zu sichernden Forderungen um mehr als 20 % übersteigt.</w:t>
      </w:r>
    </w:p>
    <w:p w14:paraId="1721E19D" w14:textId="77777777" w:rsidR="00C16B81" w:rsidRDefault="00C16B81" w:rsidP="00C16B81">
      <w:pPr>
        <w:ind w:left="426"/>
        <w:jc w:val="both"/>
      </w:pPr>
    </w:p>
    <w:p w14:paraId="09D90DB1" w14:textId="77777777" w:rsidR="00C16B81" w:rsidRDefault="00C16B81" w:rsidP="00C16B81">
      <w:pPr>
        <w:jc w:val="both"/>
      </w:pPr>
    </w:p>
    <w:p w14:paraId="66EF07FB" w14:textId="7484032B" w:rsidR="00C16B81" w:rsidRDefault="00C16B81" w:rsidP="00C16B81">
      <w:pPr>
        <w:ind w:left="851" w:hanging="851"/>
        <w:jc w:val="center"/>
        <w:rPr>
          <w:b/>
        </w:rPr>
      </w:pPr>
      <w:r>
        <w:rPr>
          <w:b/>
        </w:rPr>
        <w:br w:type="page"/>
      </w:r>
      <w:r w:rsidR="000A02E5">
        <w:rPr>
          <w:b/>
        </w:rPr>
        <w:lastRenderedPageBreak/>
        <w:t>IX.</w:t>
      </w:r>
      <w:r>
        <w:rPr>
          <w:b/>
        </w:rPr>
        <w:t xml:space="preserve"> Gewährleistung und Mängelrüge sowie Rückgriff/Herstellerregress</w:t>
      </w:r>
    </w:p>
    <w:p w14:paraId="7B12095D" w14:textId="77777777" w:rsidR="00C16B81" w:rsidRDefault="00C16B81" w:rsidP="00C16B81">
      <w:pPr>
        <w:jc w:val="both"/>
      </w:pPr>
    </w:p>
    <w:p w14:paraId="7DFE252D" w14:textId="67D554C0" w:rsidR="00C16B81" w:rsidRPr="006B38CA" w:rsidRDefault="00C16B81" w:rsidP="006B43EF">
      <w:pPr>
        <w:numPr>
          <w:ilvl w:val="0"/>
          <w:numId w:val="5"/>
        </w:numPr>
        <w:ind w:left="426" w:hanging="426"/>
        <w:jc w:val="both"/>
      </w:pPr>
      <w:r>
        <w:t xml:space="preserve">Gewährleistungsrechte des Bestellers setzen voraus, dass dieser seinen nach </w:t>
      </w:r>
      <w:r w:rsidR="000A02E5">
        <w:t>Paragraf</w:t>
      </w:r>
      <w:r>
        <w:t xml:space="preserve"> 377 HGB geschuldeten Untersuchungs- und Rügeobliegenheiten ordnungsgemäß nachgekommen ist. </w:t>
      </w:r>
    </w:p>
    <w:p w14:paraId="19E51ADF" w14:textId="77777777" w:rsidR="00C16B81" w:rsidRDefault="00C16B81" w:rsidP="006B43EF">
      <w:pPr>
        <w:ind w:left="426" w:hanging="426"/>
        <w:jc w:val="both"/>
      </w:pPr>
    </w:p>
    <w:p w14:paraId="0544A9AB" w14:textId="2D54AA5F" w:rsidR="006B43EF" w:rsidRDefault="00C16B81" w:rsidP="006B43EF">
      <w:pPr>
        <w:numPr>
          <w:ilvl w:val="0"/>
          <w:numId w:val="5"/>
        </w:numPr>
        <w:ind w:left="426" w:hanging="426"/>
        <w:jc w:val="both"/>
      </w:pPr>
      <w:r>
        <w:t xml:space="preserve">Mängelansprüche verjähren </w:t>
      </w:r>
      <w:r w:rsidRPr="00A8694A">
        <w:t>in 12 Monaten nach</w:t>
      </w:r>
      <w:r>
        <w:t xml:space="preserve"> erfolgter Ablieferung der von uns gelieferten Ware bei unserem Besteller. Für Schadensersatzansprüche bei Vorsatz und grober Fahrlässigkeit sowie bei Verletzung von Leben, Körper und Gesundheit, die auf einer vorsätzlichen oder fahrlässigen Pflichtverletzung des Verwenders beruhen, gilt die gesetzliche Verjährungsfrist. </w:t>
      </w:r>
      <w:r w:rsidRPr="000A02E5">
        <w:rPr>
          <w:i/>
          <w:iCs/>
        </w:rPr>
        <w:t>(Hinweis: bei dem Verkauf gebrauchter Güter kann die Gewährleistungsfrist mit Ausnahme der im Satz 2 genannten Schadensersatzansprüche ganz ausgeschlossen werden</w:t>
      </w:r>
      <w:r w:rsidR="000A02E5" w:rsidRPr="000A02E5">
        <w:rPr>
          <w:i/>
          <w:iCs/>
        </w:rPr>
        <w:t>.</w:t>
      </w:r>
      <w:r w:rsidRPr="000A02E5">
        <w:rPr>
          <w:i/>
          <w:iCs/>
        </w:rPr>
        <w:t>)</w:t>
      </w:r>
    </w:p>
    <w:p w14:paraId="362DB1A1" w14:textId="44DFC920" w:rsidR="00C16B81" w:rsidRDefault="00C16B81" w:rsidP="006B43EF">
      <w:pPr>
        <w:ind w:left="426"/>
        <w:jc w:val="both"/>
      </w:pPr>
      <w:r>
        <w:t xml:space="preserve">Soweit das Gesetz gemäß </w:t>
      </w:r>
      <w:r w:rsidR="000A02E5">
        <w:t>Paragraf</w:t>
      </w:r>
      <w:r>
        <w:t xml:space="preserve"> 438 Abs. 1 Nr. 2 BGB (Bauwerke und Sachen für Bauwerke), </w:t>
      </w:r>
      <w:r w:rsidR="000A02E5">
        <w:t>Paragraf</w:t>
      </w:r>
      <w:r w:rsidRPr="00E658F3">
        <w:t xml:space="preserve"> 445 b BGB (Rückgriffsanspruch) </w:t>
      </w:r>
      <w:r>
        <w:t xml:space="preserve">und </w:t>
      </w:r>
      <w:r w:rsidR="000A02E5">
        <w:t>Paragraf</w:t>
      </w:r>
      <w:r>
        <w:t xml:space="preserve"> 634a Absatz 1 BGB (Baumängel) längere Fristen zwingend vorschreibt, gelten diese </w:t>
      </w:r>
      <w:r w:rsidRPr="0086332C">
        <w:t>Fristen.</w:t>
      </w:r>
      <w:r>
        <w:t xml:space="preserve"> Vor etwaiger Rücksendung der Ware ist unsere Zustimmung einzuholen.</w:t>
      </w:r>
    </w:p>
    <w:p w14:paraId="12044349" w14:textId="77777777" w:rsidR="00C16B81" w:rsidRDefault="00C16B81" w:rsidP="006B43EF">
      <w:pPr>
        <w:ind w:left="426" w:hanging="426"/>
        <w:jc w:val="both"/>
      </w:pPr>
    </w:p>
    <w:p w14:paraId="4895FA2C" w14:textId="77777777" w:rsidR="00C16B81" w:rsidRPr="00655F95" w:rsidRDefault="00C16B81" w:rsidP="006B43EF">
      <w:pPr>
        <w:numPr>
          <w:ilvl w:val="0"/>
          <w:numId w:val="5"/>
        </w:numPr>
        <w:ind w:left="426" w:hanging="426"/>
        <w:jc w:val="both"/>
      </w:pPr>
      <w:r>
        <w:t xml:space="preserve">Sollte trotz aller aufgewendeter Sorgfalt die gelieferte Ware einen Mangel aufweisen, der bereits zum Zeitpunkt des Gefahrübergangs vorlag, so werden wir die Ware, vorbehaltlich fristgerechter Mängelrüge nach unserer Wahl nachbessern oder Ersatzware liefern. Es ist uns stets Gelegenheit zur Nacherfüllung innerhalb angemessener Frist zu geben. </w:t>
      </w:r>
      <w:r w:rsidRPr="00655F95">
        <w:t>Rückgriffsansprüche bleiben von vorstehender Regelung ohne Einschränkung unberührt.</w:t>
      </w:r>
    </w:p>
    <w:p w14:paraId="3CAB3BBB" w14:textId="77777777" w:rsidR="00C16B81" w:rsidRDefault="00C16B81" w:rsidP="006B43EF">
      <w:pPr>
        <w:ind w:left="426" w:hanging="426"/>
        <w:jc w:val="both"/>
      </w:pPr>
    </w:p>
    <w:p w14:paraId="101F554B" w14:textId="77777777" w:rsidR="00C16B81" w:rsidRDefault="00C16B81" w:rsidP="006B43EF">
      <w:pPr>
        <w:numPr>
          <w:ilvl w:val="0"/>
          <w:numId w:val="5"/>
        </w:numPr>
        <w:ind w:left="426" w:hanging="426"/>
        <w:jc w:val="both"/>
      </w:pPr>
      <w:r>
        <w:t>Schlägt die Nacherfüllung fehl, kann der Besteller – unbeschadet etwaiger Schadensersatzansprüche – vom Vertrag zurücktreten oder die Vergütung mindern.</w:t>
      </w:r>
    </w:p>
    <w:p w14:paraId="1D17E85A" w14:textId="77777777" w:rsidR="00C16B81" w:rsidRDefault="00C16B81" w:rsidP="006B43EF">
      <w:pPr>
        <w:ind w:left="426" w:hanging="426"/>
        <w:jc w:val="both"/>
      </w:pPr>
    </w:p>
    <w:p w14:paraId="393990D3" w14:textId="77777777" w:rsidR="00C16B81" w:rsidRDefault="00C16B81" w:rsidP="006B43EF">
      <w:pPr>
        <w:numPr>
          <w:ilvl w:val="0"/>
          <w:numId w:val="5"/>
        </w:numPr>
        <w:ind w:left="426" w:hanging="426"/>
        <w:jc w:val="both"/>
      </w:pPr>
      <w:r>
        <w:t xml:space="preserve">Mängelansprüche bestehen nicht bei nur unerheblicher Abweichung von der vereinbarten Beschaffenheit, bei nur unerheblicher Beeinträchtigung der Brauchbarkeit, bei natürlicher Abnutzung oder Verschleiß wie bei Schäden, die nach dem Gefahrübergang infolge fehlerhafter oder nachlässiger Behandlung, übermäßiger Beanspruchung, ungeeigneter Betriebsmittel, mangelhafter Bauarbeiten, ungeeigneten Baugrundes oder aufgrund besonderer äußerer Einflüsse entstehen, die nach dem Vertrag nicht vorausgesetzt sind. Werden vom Besteller oder Dritten unsachgemäß Instandsetzungsarbeiten oder Änderungen vorgenommen, so bestehen für diese und die daraus entstehenden Folgen ebenfalls keine Mängelansprüche. </w:t>
      </w:r>
    </w:p>
    <w:p w14:paraId="7075B71B" w14:textId="77777777" w:rsidR="00C16B81" w:rsidRDefault="00C16B81" w:rsidP="006B43EF">
      <w:pPr>
        <w:ind w:left="426" w:hanging="426"/>
        <w:jc w:val="both"/>
      </w:pPr>
    </w:p>
    <w:p w14:paraId="6EFE7972" w14:textId="2BE1DB79" w:rsidR="00C16B81" w:rsidRDefault="00C16B81" w:rsidP="006B43EF">
      <w:pPr>
        <w:numPr>
          <w:ilvl w:val="0"/>
          <w:numId w:val="5"/>
        </w:numPr>
        <w:ind w:left="426" w:hanging="426"/>
        <w:jc w:val="both"/>
      </w:pPr>
      <w:r>
        <w:t>Ansprüche des Bestellers wegen der zum Zweck der Nacherfüllung erforderlichen Aufwendungen, insbesondere Transport-, Wege-, Arbeits- und Materialkosten</w:t>
      </w:r>
      <w:r w:rsidR="000A02E5">
        <w:t xml:space="preserve"> </w:t>
      </w:r>
      <w:r w:rsidR="000A02E5" w:rsidRPr="000A02E5">
        <w:t>einschließlich eventueller Aus- und Einbaukosten</w:t>
      </w:r>
      <w:r>
        <w:t xml:space="preserve">, sind ausgeschlossen, soweit die Aufwendungen sich erhöhen, weil die von uns gelieferte Ware nachträglich an einen anderen Ort als die Niederlassung des Bestellers verbracht worden ist, es sei denn, die Verbringung entspricht ihrem bestimmungsgemäßen Gebrauch. </w:t>
      </w:r>
    </w:p>
    <w:p w14:paraId="33860752" w14:textId="77777777" w:rsidR="00C16B81" w:rsidRDefault="00C16B81" w:rsidP="006B43EF">
      <w:pPr>
        <w:ind w:left="426" w:hanging="426"/>
        <w:jc w:val="both"/>
      </w:pPr>
    </w:p>
    <w:p w14:paraId="37D3A6D6" w14:textId="77777777" w:rsidR="00C16B81" w:rsidRDefault="00C16B81" w:rsidP="006B43EF">
      <w:pPr>
        <w:numPr>
          <w:ilvl w:val="0"/>
          <w:numId w:val="5"/>
        </w:numPr>
        <w:ind w:left="426" w:hanging="426"/>
        <w:jc w:val="both"/>
      </w:pPr>
      <w:r>
        <w:t>Rückgriffsansprüche des Bestellers gegen uns bestehen nur insoweit, als der Besteller mit seinem Abnehmer keine über die gesetzlich zwingenden Mängelansprüche hinausgehenden Vereinbarungen getroffen hat. Für den Umfang des Rückgriffsanspruches des Bestellers gegen den Lieferer gilt ferner Absatz 6 entsprechend.</w:t>
      </w:r>
    </w:p>
    <w:p w14:paraId="4DB4359C" w14:textId="77777777" w:rsidR="00C16B81" w:rsidRDefault="00C16B81" w:rsidP="00C16B81">
      <w:pPr>
        <w:jc w:val="both"/>
      </w:pPr>
    </w:p>
    <w:p w14:paraId="157981A8" w14:textId="77777777" w:rsidR="00C16B81" w:rsidRDefault="00C16B81" w:rsidP="00C16B81">
      <w:pPr>
        <w:jc w:val="both"/>
      </w:pPr>
    </w:p>
    <w:p w14:paraId="716FD7A7" w14:textId="4F0C2C6F" w:rsidR="00C16B81" w:rsidRDefault="00C16B81" w:rsidP="00C16B81">
      <w:pPr>
        <w:ind w:left="2124" w:firstLine="708"/>
        <w:jc w:val="both"/>
        <w:rPr>
          <w:b/>
        </w:rPr>
      </w:pPr>
      <w:r>
        <w:rPr>
          <w:b/>
        </w:rPr>
        <w:br w:type="page"/>
      </w:r>
      <w:r w:rsidR="000A02E5">
        <w:rPr>
          <w:b/>
        </w:rPr>
        <w:lastRenderedPageBreak/>
        <w:t>X.</w:t>
      </w:r>
      <w:r>
        <w:rPr>
          <w:b/>
        </w:rPr>
        <w:t xml:space="preserve"> Sonstiges</w:t>
      </w:r>
    </w:p>
    <w:p w14:paraId="6AB128C3" w14:textId="77777777" w:rsidR="00C16B81" w:rsidRDefault="00C16B81" w:rsidP="00C16B81">
      <w:pPr>
        <w:jc w:val="both"/>
      </w:pPr>
    </w:p>
    <w:p w14:paraId="2975ADDD" w14:textId="77777777" w:rsidR="00C16B81" w:rsidRDefault="00C16B81" w:rsidP="00C16B81">
      <w:pPr>
        <w:numPr>
          <w:ilvl w:val="0"/>
          <w:numId w:val="6"/>
        </w:numPr>
        <w:ind w:left="426" w:hanging="426"/>
        <w:jc w:val="both"/>
      </w:pPr>
      <w:r>
        <w:t>Dieser Vertrag und die gesamten Rechtsbeziehungen der Parteien unterliegen dem Recht der Bundesrepublik Deutschland unter Ausschluss des UN-Kaufrechts (CISG).</w:t>
      </w:r>
    </w:p>
    <w:p w14:paraId="229BB5C7" w14:textId="77777777" w:rsidR="00C16B81" w:rsidRDefault="00C16B81" w:rsidP="00C16B81">
      <w:pPr>
        <w:ind w:left="426" w:hanging="426"/>
        <w:jc w:val="both"/>
      </w:pPr>
    </w:p>
    <w:p w14:paraId="4A995980" w14:textId="28858AB9" w:rsidR="00C16B81" w:rsidRDefault="00C16B81" w:rsidP="00C16B81">
      <w:pPr>
        <w:numPr>
          <w:ilvl w:val="0"/>
          <w:numId w:val="6"/>
        </w:numPr>
        <w:ind w:left="426" w:hanging="426"/>
        <w:jc w:val="both"/>
      </w:pPr>
      <w:r>
        <w:t>Erfüllungsort und ausschließlicher Gerichtsstand und für alle Streitigkeiten aus diesem Vertrag ist unser Geschäftssitz, sofern sich aus der Auftragsbestätigung nichts anderes ergibt</w:t>
      </w:r>
      <w:r w:rsidR="00B40336">
        <w:t>.</w:t>
      </w:r>
      <w:r>
        <w:t xml:space="preserve"> </w:t>
      </w:r>
      <w:r w:rsidRPr="00B40336">
        <w:rPr>
          <w:i/>
          <w:iCs/>
        </w:rPr>
        <w:t>(Hinweis: Die Verwendung der Klausel ist unzulässig, wenn mindestens eine der Parteien ein nicht im Handelsregister eingetragenes Unternehmen ist</w:t>
      </w:r>
      <w:r w:rsidR="000A02E5" w:rsidRPr="00B40336">
        <w:rPr>
          <w:i/>
          <w:iCs/>
        </w:rPr>
        <w:t>, also kein Kaufmann/keine Kauffrau ist</w:t>
      </w:r>
      <w:r w:rsidR="00B40336" w:rsidRPr="00B40336">
        <w:rPr>
          <w:i/>
          <w:iCs/>
        </w:rPr>
        <w:t>.</w:t>
      </w:r>
      <w:r w:rsidR="000A02E5" w:rsidRPr="00B40336">
        <w:rPr>
          <w:i/>
          <w:iCs/>
        </w:rPr>
        <w:t>)</w:t>
      </w:r>
    </w:p>
    <w:p w14:paraId="780B64E7" w14:textId="77777777" w:rsidR="00C16B81" w:rsidRDefault="00C16B81" w:rsidP="00C16B81">
      <w:pPr>
        <w:ind w:left="426" w:hanging="426"/>
        <w:jc w:val="both"/>
      </w:pPr>
    </w:p>
    <w:p w14:paraId="682AF737" w14:textId="77777777" w:rsidR="00C16B81" w:rsidRDefault="00C16B81" w:rsidP="00C16B81">
      <w:pPr>
        <w:numPr>
          <w:ilvl w:val="0"/>
          <w:numId w:val="6"/>
        </w:numPr>
        <w:ind w:left="426" w:hanging="426"/>
        <w:jc w:val="both"/>
      </w:pPr>
      <w:r w:rsidRPr="003B787E">
        <w:rPr>
          <w:rFonts w:cs="Arial"/>
          <w:color w:val="000000"/>
          <w:szCs w:val="22"/>
        </w:rPr>
        <w:t>Alle Vereinbarungen, die zwischen den Parteien zwecks Ausführung dieses Vertrages getroffen werden, sind in diesem Vertrag schriftlich niedergelegt.</w:t>
      </w:r>
    </w:p>
    <w:p w14:paraId="535AD837" w14:textId="77777777" w:rsidR="00C16B81" w:rsidRDefault="00C16B81" w:rsidP="00C16B81">
      <w:pPr>
        <w:jc w:val="both"/>
      </w:pPr>
    </w:p>
    <w:p w14:paraId="5F258AA6" w14:textId="77777777" w:rsidR="00C16B81" w:rsidRDefault="00C16B81" w:rsidP="00C16B81">
      <w:pPr>
        <w:jc w:val="both"/>
      </w:pPr>
    </w:p>
    <w:p w14:paraId="3E44E5E3" w14:textId="77777777" w:rsidR="00C16B81" w:rsidRDefault="00C16B81" w:rsidP="00C16B81">
      <w:pPr>
        <w:jc w:val="both"/>
      </w:pPr>
    </w:p>
    <w:p w14:paraId="7433F84C" w14:textId="77777777" w:rsidR="00C16B81" w:rsidRDefault="00C16B81" w:rsidP="00C16B81">
      <w:r>
        <w:br w:type="page"/>
      </w:r>
    </w:p>
    <w:p w14:paraId="08C97CB7" w14:textId="43E8BB54" w:rsidR="00C16B81" w:rsidRDefault="00C16B81" w:rsidP="00C16B81">
      <w:pPr>
        <w:pStyle w:val="berschrift1"/>
        <w:rPr>
          <w:b/>
          <w:sz w:val="22"/>
        </w:rPr>
      </w:pPr>
      <w:r>
        <w:rPr>
          <w:sz w:val="22"/>
          <w:u w:val="single"/>
        </w:rPr>
        <w:lastRenderedPageBreak/>
        <w:t>Anhang 1</w:t>
      </w:r>
      <w:r>
        <w:rPr>
          <w:sz w:val="22"/>
        </w:rPr>
        <w:t>:</w:t>
      </w:r>
    </w:p>
    <w:p w14:paraId="34C22AC2" w14:textId="77777777" w:rsidR="00C16B81" w:rsidRPr="00B40336" w:rsidRDefault="00C16B81" w:rsidP="00C16B81">
      <w:pPr>
        <w:pStyle w:val="berschrift1"/>
        <w:jc w:val="center"/>
        <w:rPr>
          <w:b/>
          <w:bCs/>
          <w:sz w:val="22"/>
        </w:rPr>
      </w:pPr>
      <w:r w:rsidRPr="00B40336">
        <w:rPr>
          <w:b/>
          <w:bCs/>
          <w:sz w:val="22"/>
        </w:rPr>
        <w:t>Anmerkungen</w:t>
      </w:r>
    </w:p>
    <w:p w14:paraId="17EF29BF" w14:textId="77777777" w:rsidR="00C16B81" w:rsidRDefault="00C16B81" w:rsidP="00C16B81">
      <w:pPr>
        <w:jc w:val="both"/>
      </w:pPr>
    </w:p>
    <w:p w14:paraId="4D2152FC" w14:textId="3C552518" w:rsidR="00C16B81" w:rsidRDefault="00C16B81" w:rsidP="00C16B81">
      <w:pPr>
        <w:tabs>
          <w:tab w:val="left" w:pos="5104"/>
        </w:tabs>
        <w:jc w:val="both"/>
      </w:pPr>
      <w:r>
        <w:t xml:space="preserve">Obwohl die Klauselverbote der Katalogtatbestände der </w:t>
      </w:r>
      <w:r w:rsidR="00B40336" w:rsidRPr="00B40336">
        <w:t>Paragrafen</w:t>
      </w:r>
      <w:r>
        <w:t xml:space="preserve"> 308, 309 BGB gem. </w:t>
      </w:r>
      <w:r w:rsidR="00B40336" w:rsidRPr="00B40336">
        <w:t>Paragraf</w:t>
      </w:r>
      <w:r>
        <w:t xml:space="preserve"> 310 Abs. 1 BGB nicht für AGBs gelten, die gegenüber Unternehmern i. S. d. </w:t>
      </w:r>
      <w:r w:rsidR="00B40336" w:rsidRPr="00B40336">
        <w:t>Paragraf</w:t>
      </w:r>
      <w:r>
        <w:t xml:space="preserve"> 14 BGB verwandt werden, ist nicht im Umkehrschluss automatisch davon auszugehen, dass die Verwendung von Klauseln wie die in den </w:t>
      </w:r>
      <w:r w:rsidR="00B40336" w:rsidRPr="00B40336">
        <w:t xml:space="preserve">Paragrafen </w:t>
      </w:r>
      <w:r>
        <w:t xml:space="preserve">308, 309 BGB genannt gegenüber Unternehmern im Regelfall der Inhaltskontrolle der </w:t>
      </w:r>
      <w:r w:rsidR="00B40336" w:rsidRPr="00B40336">
        <w:t xml:space="preserve">Paragrafen </w:t>
      </w:r>
      <w:r>
        <w:t xml:space="preserve">305 ff. BGB standhalten. Gemäß </w:t>
      </w:r>
      <w:r w:rsidR="00B40336" w:rsidRPr="00B40336">
        <w:t>Paragraf</w:t>
      </w:r>
      <w:r>
        <w:t xml:space="preserve"> 307 Abs. 1, 2 Nr. 1 BGB, der auch bei der Verwendung von AGBs gegenüber Unternehmern gilt, ist eine unangemessene Benachteiligung des Vertragspartners im Zweifel anzunehmen, wenn die Klausel mit wesentlichen Grundgedanken der gesetzlichen Regelung, von der abgewichen wird, nicht vereinbar ist. Dies führt nach der Rechtsprechung dazu, dass die Klauselverbotskataloge der </w:t>
      </w:r>
      <w:r w:rsidR="00B40336" w:rsidRPr="00B40336">
        <w:t>Paragrafen</w:t>
      </w:r>
      <w:r>
        <w:t xml:space="preserve"> 308, 309 BGB über die Auslegung des</w:t>
      </w:r>
      <w:r w:rsidR="00B40336">
        <w:t xml:space="preserve"> </w:t>
      </w:r>
      <w:r w:rsidR="00B40336" w:rsidRPr="00B40336">
        <w:t>Paragraf</w:t>
      </w:r>
      <w:r>
        <w:t xml:space="preserve"> 307 BGB auch im kaufmännischen Verkehr indirekte Bedeutung erlangen. </w:t>
      </w:r>
    </w:p>
    <w:p w14:paraId="12797C25" w14:textId="77777777" w:rsidR="00C16B81" w:rsidRDefault="00C16B81" w:rsidP="00C16B81">
      <w:pPr>
        <w:tabs>
          <w:tab w:val="left" w:pos="5104"/>
        </w:tabs>
        <w:jc w:val="both"/>
      </w:pPr>
    </w:p>
    <w:p w14:paraId="599C4ED0" w14:textId="348D80A3" w:rsidR="00C16B81" w:rsidRDefault="00C16B81" w:rsidP="00C16B81">
      <w:pPr>
        <w:tabs>
          <w:tab w:val="left" w:pos="5104"/>
        </w:tabs>
        <w:jc w:val="both"/>
      </w:pPr>
      <w:r>
        <w:t xml:space="preserve">Die Klauselverbote des </w:t>
      </w:r>
      <w:r w:rsidR="00B40336" w:rsidRPr="00B40336">
        <w:t>Paragraf</w:t>
      </w:r>
      <w:r>
        <w:t xml:space="preserve"> 308 BGB sind dabei in der Regel auf den Verkauf zwischen Unternehmern übertragbar, weil in ihren Wertungsspielräumen die kaufmännischen Besonderheiten berücksichtigt werden. Dagegen ist bei den Verboten des </w:t>
      </w:r>
      <w:r w:rsidR="00B40336" w:rsidRPr="00B40336">
        <w:t>Paragraf</w:t>
      </w:r>
      <w:r>
        <w:t xml:space="preserve"> 309 BGB eine derart pauschale Lösung nicht möglich, der Verstoß gegen </w:t>
      </w:r>
      <w:r w:rsidR="00B40336" w:rsidRPr="00B40336">
        <w:t>Paragraf</w:t>
      </w:r>
      <w:r>
        <w:t xml:space="preserve"> 309 ist aber auch beim Verkauf zwischen Unternehmern ein Indiz für die Unwirksamkeit der Klausel. Hier empfiehlt sich, vor der Verwendung der AGBs eine Einzelfallprüfung durch einen Rechtskundigen vornehmen zu lassen.</w:t>
      </w:r>
    </w:p>
    <w:p w14:paraId="5C886451" w14:textId="77777777" w:rsidR="00C16B81" w:rsidRDefault="00C16B81" w:rsidP="00C16B81"/>
    <w:p w14:paraId="777D60B2" w14:textId="77777777" w:rsidR="00C16B81" w:rsidRDefault="00C16B81" w:rsidP="00C16B81"/>
    <w:p w14:paraId="1FF394BC" w14:textId="77777777" w:rsidR="00C16B81" w:rsidRDefault="00C16B81" w:rsidP="00C16B81">
      <w:pPr>
        <w:pStyle w:val="berschrift5"/>
      </w:pPr>
      <w:r>
        <w:t>Transparenzgebot</w:t>
      </w:r>
    </w:p>
    <w:p w14:paraId="5E9DC4BD" w14:textId="77777777" w:rsidR="00C16B81" w:rsidRDefault="00C16B81" w:rsidP="00C16B81"/>
    <w:p w14:paraId="65917BB2" w14:textId="77777777" w:rsidR="00C16B81" w:rsidRDefault="00C16B81" w:rsidP="00C16B81">
      <w:pPr>
        <w:jc w:val="both"/>
      </w:pPr>
      <w: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1943513B" w14:textId="77777777" w:rsidR="00C16B81" w:rsidRDefault="00C16B81" w:rsidP="00C16B81">
      <w:pPr>
        <w:jc w:val="both"/>
      </w:pPr>
    </w:p>
    <w:p w14:paraId="468FF7AF" w14:textId="77777777" w:rsidR="00C16B81" w:rsidRDefault="00C16B81" w:rsidP="00C16B81"/>
    <w:p w14:paraId="1C1DD7B5" w14:textId="77777777" w:rsidR="00C16B81" w:rsidRDefault="00C16B81" w:rsidP="00B40336">
      <w:pPr>
        <w:pStyle w:val="berschrift5"/>
      </w:pPr>
      <w:r>
        <w:t>Gewährleistungsfristen</w:t>
      </w:r>
    </w:p>
    <w:p w14:paraId="3FE8FA25" w14:textId="77777777" w:rsidR="00C16B81" w:rsidRDefault="00C16B81" w:rsidP="00C16B81"/>
    <w:p w14:paraId="67D12A8A" w14:textId="1529771F" w:rsidR="00C16B81" w:rsidRDefault="00C16B81" w:rsidP="00C16B81">
      <w:pPr>
        <w:jc w:val="both"/>
      </w:pPr>
      <w:r>
        <w:t xml:space="preserve">Bei Kauf- und Werkvertrag beträgt die Gewährleistungsfrist </w:t>
      </w:r>
      <w:r w:rsidR="00B40336">
        <w:t>zwei</w:t>
      </w:r>
      <w:r>
        <w:t xml:space="preserve"> Jahre. Durch AGB kann die Gewährleistungsfrist wie folgt verkürzt werden:</w:t>
      </w:r>
    </w:p>
    <w:p w14:paraId="1B073DDF" w14:textId="72CE515A" w:rsidR="00C16B81" w:rsidRDefault="00C16B81" w:rsidP="00C16B81"/>
    <w:p w14:paraId="3E1FDB94" w14:textId="77777777" w:rsidR="003020E7" w:rsidRPr="003020E7" w:rsidRDefault="003020E7" w:rsidP="003020E7">
      <w:pPr>
        <w:rPr>
          <w:rFonts w:cs="Arial"/>
          <w:b/>
          <w:szCs w:val="22"/>
        </w:rPr>
      </w:pPr>
      <w:r w:rsidRPr="003020E7">
        <w:rPr>
          <w:rFonts w:cs="Arial"/>
          <w:b/>
          <w:szCs w:val="22"/>
        </w:rPr>
        <w:t>Bewegliche Sachen außer Baumaterialien:</w:t>
      </w:r>
    </w:p>
    <w:tbl>
      <w:tblPr>
        <w:tblStyle w:val="Tabellenraster"/>
        <w:tblW w:w="0" w:type="auto"/>
        <w:tblLook w:val="04A0" w:firstRow="1" w:lastRow="0" w:firstColumn="1" w:lastColumn="0" w:noHBand="0" w:noVBand="1"/>
      </w:tblPr>
      <w:tblGrid>
        <w:gridCol w:w="3021"/>
        <w:gridCol w:w="3029"/>
        <w:gridCol w:w="3011"/>
      </w:tblGrid>
      <w:tr w:rsidR="003020E7" w:rsidRPr="003020E7" w14:paraId="75C729D7" w14:textId="77777777" w:rsidTr="003D2731">
        <w:tc>
          <w:tcPr>
            <w:tcW w:w="3070" w:type="dxa"/>
          </w:tcPr>
          <w:p w14:paraId="673786CB" w14:textId="77777777" w:rsidR="003020E7" w:rsidRPr="003020E7" w:rsidRDefault="003020E7" w:rsidP="003D2731">
            <w:pPr>
              <w:rPr>
                <w:rFonts w:cs="Arial"/>
                <w:szCs w:val="22"/>
              </w:rPr>
            </w:pPr>
            <w:r w:rsidRPr="003020E7">
              <w:rPr>
                <w:rFonts w:cs="Arial"/>
                <w:szCs w:val="22"/>
              </w:rPr>
              <w:t>Neu</w:t>
            </w:r>
          </w:p>
        </w:tc>
        <w:tc>
          <w:tcPr>
            <w:tcW w:w="3070" w:type="dxa"/>
          </w:tcPr>
          <w:p w14:paraId="583B0544" w14:textId="77777777" w:rsidR="003020E7" w:rsidRPr="003020E7" w:rsidRDefault="003020E7" w:rsidP="003D2731">
            <w:pPr>
              <w:rPr>
                <w:rFonts w:cs="Arial"/>
                <w:szCs w:val="22"/>
              </w:rPr>
            </w:pPr>
            <w:r w:rsidRPr="003020E7">
              <w:rPr>
                <w:rFonts w:cs="Arial"/>
                <w:szCs w:val="22"/>
              </w:rPr>
              <w:t>Käufer ist Verbraucher</w:t>
            </w:r>
          </w:p>
        </w:tc>
        <w:tc>
          <w:tcPr>
            <w:tcW w:w="3071" w:type="dxa"/>
          </w:tcPr>
          <w:p w14:paraId="6B45F4A4" w14:textId="77777777" w:rsidR="003020E7" w:rsidRPr="003020E7" w:rsidRDefault="003020E7" w:rsidP="003D2731">
            <w:pPr>
              <w:rPr>
                <w:rFonts w:cs="Arial"/>
                <w:szCs w:val="22"/>
              </w:rPr>
            </w:pPr>
            <w:r w:rsidRPr="003020E7">
              <w:rPr>
                <w:rFonts w:cs="Arial"/>
                <w:szCs w:val="22"/>
              </w:rPr>
              <w:t>Zwei Jahre</w:t>
            </w:r>
          </w:p>
        </w:tc>
      </w:tr>
      <w:tr w:rsidR="003020E7" w:rsidRPr="003020E7" w14:paraId="2D237050" w14:textId="77777777" w:rsidTr="003D2731">
        <w:tc>
          <w:tcPr>
            <w:tcW w:w="3070" w:type="dxa"/>
          </w:tcPr>
          <w:p w14:paraId="749D1D74" w14:textId="77777777" w:rsidR="003020E7" w:rsidRPr="003020E7" w:rsidRDefault="003020E7" w:rsidP="003D2731">
            <w:pPr>
              <w:rPr>
                <w:rFonts w:cs="Arial"/>
                <w:szCs w:val="22"/>
              </w:rPr>
            </w:pPr>
          </w:p>
        </w:tc>
        <w:tc>
          <w:tcPr>
            <w:tcW w:w="3070" w:type="dxa"/>
          </w:tcPr>
          <w:p w14:paraId="4A7FF130" w14:textId="77777777" w:rsidR="003020E7" w:rsidRPr="003020E7" w:rsidRDefault="003020E7" w:rsidP="003D2731">
            <w:pPr>
              <w:rPr>
                <w:rFonts w:cs="Arial"/>
                <w:szCs w:val="22"/>
              </w:rPr>
            </w:pPr>
            <w:r w:rsidRPr="003020E7">
              <w:rPr>
                <w:rFonts w:cs="Arial"/>
                <w:szCs w:val="22"/>
              </w:rPr>
              <w:t>Käufer ist Unternehmer</w:t>
            </w:r>
          </w:p>
        </w:tc>
        <w:tc>
          <w:tcPr>
            <w:tcW w:w="3071" w:type="dxa"/>
          </w:tcPr>
          <w:p w14:paraId="295496A1" w14:textId="77777777" w:rsidR="003020E7" w:rsidRPr="003020E7" w:rsidRDefault="003020E7" w:rsidP="003D2731">
            <w:pPr>
              <w:rPr>
                <w:rFonts w:cs="Arial"/>
                <w:szCs w:val="22"/>
              </w:rPr>
            </w:pPr>
            <w:r w:rsidRPr="003020E7">
              <w:rPr>
                <w:rFonts w:cs="Arial"/>
                <w:szCs w:val="22"/>
              </w:rPr>
              <w:t xml:space="preserve">Ein Jahr </w:t>
            </w:r>
          </w:p>
        </w:tc>
      </w:tr>
      <w:tr w:rsidR="003020E7" w:rsidRPr="003020E7" w14:paraId="0EF952CC" w14:textId="77777777" w:rsidTr="003D2731">
        <w:tc>
          <w:tcPr>
            <w:tcW w:w="3070" w:type="dxa"/>
          </w:tcPr>
          <w:p w14:paraId="43986E07" w14:textId="77777777" w:rsidR="003020E7" w:rsidRPr="003020E7" w:rsidRDefault="003020E7" w:rsidP="003D2731">
            <w:pPr>
              <w:rPr>
                <w:rFonts w:cs="Arial"/>
                <w:szCs w:val="22"/>
              </w:rPr>
            </w:pPr>
          </w:p>
        </w:tc>
        <w:tc>
          <w:tcPr>
            <w:tcW w:w="3070" w:type="dxa"/>
          </w:tcPr>
          <w:p w14:paraId="49C1C887" w14:textId="77777777" w:rsidR="003020E7" w:rsidRPr="003020E7" w:rsidRDefault="003020E7" w:rsidP="003D2731">
            <w:pPr>
              <w:rPr>
                <w:rFonts w:cs="Arial"/>
                <w:szCs w:val="22"/>
              </w:rPr>
            </w:pPr>
          </w:p>
        </w:tc>
        <w:tc>
          <w:tcPr>
            <w:tcW w:w="3071" w:type="dxa"/>
          </w:tcPr>
          <w:p w14:paraId="2A36AF8C" w14:textId="77777777" w:rsidR="003020E7" w:rsidRPr="003020E7" w:rsidRDefault="003020E7" w:rsidP="003D2731">
            <w:pPr>
              <w:rPr>
                <w:rFonts w:cs="Arial"/>
                <w:szCs w:val="22"/>
              </w:rPr>
            </w:pPr>
          </w:p>
        </w:tc>
      </w:tr>
      <w:tr w:rsidR="003020E7" w:rsidRPr="003020E7" w14:paraId="114044E3" w14:textId="77777777" w:rsidTr="003D2731">
        <w:tc>
          <w:tcPr>
            <w:tcW w:w="3070" w:type="dxa"/>
          </w:tcPr>
          <w:p w14:paraId="0DEA13C9" w14:textId="77777777" w:rsidR="003020E7" w:rsidRPr="003020E7" w:rsidRDefault="003020E7" w:rsidP="003D2731">
            <w:pPr>
              <w:rPr>
                <w:rFonts w:cs="Arial"/>
                <w:szCs w:val="22"/>
              </w:rPr>
            </w:pPr>
            <w:r w:rsidRPr="003020E7">
              <w:rPr>
                <w:rFonts w:cs="Arial"/>
                <w:szCs w:val="22"/>
              </w:rPr>
              <w:t>Gebraucht</w:t>
            </w:r>
          </w:p>
        </w:tc>
        <w:tc>
          <w:tcPr>
            <w:tcW w:w="3070" w:type="dxa"/>
          </w:tcPr>
          <w:p w14:paraId="6805B7EB" w14:textId="77777777" w:rsidR="003020E7" w:rsidRPr="003020E7" w:rsidRDefault="003020E7" w:rsidP="003D2731">
            <w:pPr>
              <w:rPr>
                <w:rFonts w:cs="Arial"/>
                <w:szCs w:val="22"/>
              </w:rPr>
            </w:pPr>
            <w:r w:rsidRPr="003020E7">
              <w:rPr>
                <w:rFonts w:cs="Arial"/>
                <w:szCs w:val="22"/>
              </w:rPr>
              <w:t>Käufer ist Verbraucher</w:t>
            </w:r>
          </w:p>
        </w:tc>
        <w:tc>
          <w:tcPr>
            <w:tcW w:w="3071" w:type="dxa"/>
          </w:tcPr>
          <w:p w14:paraId="3E6DB186" w14:textId="77777777" w:rsidR="003020E7" w:rsidRPr="003020E7" w:rsidRDefault="003020E7" w:rsidP="003D2731">
            <w:pPr>
              <w:rPr>
                <w:rFonts w:cs="Arial"/>
                <w:szCs w:val="22"/>
              </w:rPr>
            </w:pPr>
            <w:r w:rsidRPr="003020E7">
              <w:rPr>
                <w:rFonts w:cs="Arial"/>
                <w:szCs w:val="22"/>
              </w:rPr>
              <w:t>Ein Jahr</w:t>
            </w:r>
          </w:p>
        </w:tc>
      </w:tr>
      <w:tr w:rsidR="003020E7" w:rsidRPr="003020E7" w14:paraId="75609267" w14:textId="77777777" w:rsidTr="003D2731">
        <w:tc>
          <w:tcPr>
            <w:tcW w:w="3070" w:type="dxa"/>
          </w:tcPr>
          <w:p w14:paraId="699F7ED2" w14:textId="77777777" w:rsidR="003020E7" w:rsidRPr="003020E7" w:rsidRDefault="003020E7" w:rsidP="003D2731">
            <w:pPr>
              <w:rPr>
                <w:rFonts w:cs="Arial"/>
                <w:szCs w:val="22"/>
              </w:rPr>
            </w:pPr>
          </w:p>
        </w:tc>
        <w:tc>
          <w:tcPr>
            <w:tcW w:w="3070" w:type="dxa"/>
          </w:tcPr>
          <w:p w14:paraId="26D12DA2" w14:textId="77777777" w:rsidR="003020E7" w:rsidRPr="003020E7" w:rsidRDefault="003020E7" w:rsidP="003D2731">
            <w:pPr>
              <w:rPr>
                <w:rFonts w:cs="Arial"/>
                <w:szCs w:val="22"/>
              </w:rPr>
            </w:pPr>
            <w:r w:rsidRPr="003020E7">
              <w:rPr>
                <w:rFonts w:cs="Arial"/>
                <w:szCs w:val="22"/>
              </w:rPr>
              <w:t>Käufer ist Unternehmer</w:t>
            </w:r>
          </w:p>
        </w:tc>
        <w:tc>
          <w:tcPr>
            <w:tcW w:w="3071" w:type="dxa"/>
          </w:tcPr>
          <w:p w14:paraId="41D0768B" w14:textId="77777777" w:rsidR="003020E7" w:rsidRPr="003020E7" w:rsidRDefault="003020E7" w:rsidP="003D2731">
            <w:pPr>
              <w:rPr>
                <w:rFonts w:cs="Arial"/>
                <w:szCs w:val="22"/>
              </w:rPr>
            </w:pPr>
            <w:r w:rsidRPr="003020E7">
              <w:rPr>
                <w:rFonts w:cs="Arial"/>
                <w:szCs w:val="22"/>
              </w:rPr>
              <w:t>Keine</w:t>
            </w:r>
          </w:p>
        </w:tc>
      </w:tr>
    </w:tbl>
    <w:p w14:paraId="14DD6671" w14:textId="77777777" w:rsidR="003020E7" w:rsidRPr="003020E7" w:rsidRDefault="003020E7" w:rsidP="003020E7">
      <w:pPr>
        <w:rPr>
          <w:rFonts w:cs="Arial"/>
          <w:szCs w:val="22"/>
        </w:rPr>
      </w:pPr>
    </w:p>
    <w:p w14:paraId="0CAFBB9F" w14:textId="77777777" w:rsidR="003020E7" w:rsidRPr="003020E7" w:rsidRDefault="003020E7" w:rsidP="003020E7">
      <w:pPr>
        <w:rPr>
          <w:rFonts w:cs="Arial"/>
          <w:b/>
          <w:szCs w:val="22"/>
        </w:rPr>
      </w:pPr>
      <w:r w:rsidRPr="003020E7">
        <w:rPr>
          <w:rFonts w:cs="Arial"/>
          <w:b/>
          <w:szCs w:val="22"/>
        </w:rPr>
        <w:t>Baumaterialien (sofern eingebaut):</w:t>
      </w:r>
    </w:p>
    <w:tbl>
      <w:tblPr>
        <w:tblStyle w:val="Tabellenraster"/>
        <w:tblW w:w="0" w:type="auto"/>
        <w:tblLook w:val="04A0" w:firstRow="1" w:lastRow="0" w:firstColumn="1" w:lastColumn="0" w:noHBand="0" w:noVBand="1"/>
      </w:tblPr>
      <w:tblGrid>
        <w:gridCol w:w="3021"/>
        <w:gridCol w:w="3029"/>
        <w:gridCol w:w="3011"/>
      </w:tblGrid>
      <w:tr w:rsidR="003020E7" w:rsidRPr="003020E7" w14:paraId="7D264085" w14:textId="77777777" w:rsidTr="003D2731">
        <w:tc>
          <w:tcPr>
            <w:tcW w:w="3070" w:type="dxa"/>
          </w:tcPr>
          <w:p w14:paraId="4CBD6993" w14:textId="77777777" w:rsidR="003020E7" w:rsidRPr="003020E7" w:rsidRDefault="003020E7" w:rsidP="003D2731">
            <w:pPr>
              <w:rPr>
                <w:rFonts w:cs="Arial"/>
                <w:szCs w:val="22"/>
              </w:rPr>
            </w:pPr>
            <w:r w:rsidRPr="003020E7">
              <w:rPr>
                <w:rFonts w:cs="Arial"/>
                <w:szCs w:val="22"/>
              </w:rPr>
              <w:t>Neu</w:t>
            </w:r>
          </w:p>
        </w:tc>
        <w:tc>
          <w:tcPr>
            <w:tcW w:w="3070" w:type="dxa"/>
          </w:tcPr>
          <w:p w14:paraId="198809B1" w14:textId="77777777" w:rsidR="003020E7" w:rsidRPr="003020E7" w:rsidRDefault="003020E7" w:rsidP="003D2731">
            <w:pPr>
              <w:rPr>
                <w:rFonts w:cs="Arial"/>
                <w:szCs w:val="22"/>
              </w:rPr>
            </w:pPr>
          </w:p>
        </w:tc>
        <w:tc>
          <w:tcPr>
            <w:tcW w:w="3071" w:type="dxa"/>
          </w:tcPr>
          <w:p w14:paraId="12E88440" w14:textId="77777777" w:rsidR="003020E7" w:rsidRPr="003020E7" w:rsidRDefault="003020E7" w:rsidP="003D2731">
            <w:pPr>
              <w:rPr>
                <w:rFonts w:cs="Arial"/>
                <w:szCs w:val="22"/>
              </w:rPr>
            </w:pPr>
            <w:r w:rsidRPr="003020E7">
              <w:rPr>
                <w:rFonts w:cs="Arial"/>
                <w:szCs w:val="22"/>
              </w:rPr>
              <w:t>Fünf Jahre</w:t>
            </w:r>
          </w:p>
        </w:tc>
      </w:tr>
      <w:tr w:rsidR="003020E7" w:rsidRPr="003020E7" w14:paraId="4FAB5F30" w14:textId="77777777" w:rsidTr="003D2731">
        <w:tc>
          <w:tcPr>
            <w:tcW w:w="3070" w:type="dxa"/>
          </w:tcPr>
          <w:p w14:paraId="3F863424" w14:textId="77777777" w:rsidR="003020E7" w:rsidRPr="003020E7" w:rsidRDefault="003020E7" w:rsidP="003D2731">
            <w:pPr>
              <w:rPr>
                <w:rFonts w:cs="Arial"/>
                <w:szCs w:val="22"/>
              </w:rPr>
            </w:pPr>
          </w:p>
        </w:tc>
        <w:tc>
          <w:tcPr>
            <w:tcW w:w="3070" w:type="dxa"/>
          </w:tcPr>
          <w:p w14:paraId="1A8B0C71" w14:textId="77777777" w:rsidR="003020E7" w:rsidRPr="003020E7" w:rsidRDefault="003020E7" w:rsidP="003D2731">
            <w:pPr>
              <w:rPr>
                <w:rFonts w:cs="Arial"/>
                <w:szCs w:val="22"/>
              </w:rPr>
            </w:pPr>
          </w:p>
        </w:tc>
        <w:tc>
          <w:tcPr>
            <w:tcW w:w="3071" w:type="dxa"/>
          </w:tcPr>
          <w:p w14:paraId="636909D7" w14:textId="77777777" w:rsidR="003020E7" w:rsidRPr="003020E7" w:rsidRDefault="003020E7" w:rsidP="003D2731">
            <w:pPr>
              <w:rPr>
                <w:rFonts w:cs="Arial"/>
                <w:szCs w:val="22"/>
              </w:rPr>
            </w:pPr>
          </w:p>
        </w:tc>
      </w:tr>
      <w:tr w:rsidR="003020E7" w:rsidRPr="003020E7" w14:paraId="7B9112BA" w14:textId="77777777" w:rsidTr="003D2731">
        <w:tc>
          <w:tcPr>
            <w:tcW w:w="3070" w:type="dxa"/>
          </w:tcPr>
          <w:p w14:paraId="7C6F855B" w14:textId="77777777" w:rsidR="003020E7" w:rsidRPr="003020E7" w:rsidRDefault="003020E7" w:rsidP="003D2731">
            <w:pPr>
              <w:rPr>
                <w:rFonts w:cs="Arial"/>
                <w:szCs w:val="22"/>
              </w:rPr>
            </w:pPr>
            <w:r w:rsidRPr="003020E7">
              <w:rPr>
                <w:rFonts w:cs="Arial"/>
                <w:szCs w:val="22"/>
              </w:rPr>
              <w:t>Gebraucht</w:t>
            </w:r>
          </w:p>
        </w:tc>
        <w:tc>
          <w:tcPr>
            <w:tcW w:w="3070" w:type="dxa"/>
          </w:tcPr>
          <w:p w14:paraId="5D5BFADA" w14:textId="77777777" w:rsidR="003020E7" w:rsidRPr="003020E7" w:rsidRDefault="003020E7" w:rsidP="003D2731">
            <w:pPr>
              <w:rPr>
                <w:rFonts w:cs="Arial"/>
                <w:szCs w:val="22"/>
              </w:rPr>
            </w:pPr>
            <w:r w:rsidRPr="003020E7">
              <w:rPr>
                <w:rFonts w:cs="Arial"/>
                <w:szCs w:val="22"/>
              </w:rPr>
              <w:t>Käufer ist Verbraucher</w:t>
            </w:r>
          </w:p>
        </w:tc>
        <w:tc>
          <w:tcPr>
            <w:tcW w:w="3071" w:type="dxa"/>
          </w:tcPr>
          <w:p w14:paraId="2CB374B5" w14:textId="77777777" w:rsidR="003020E7" w:rsidRPr="003020E7" w:rsidRDefault="003020E7" w:rsidP="003D2731">
            <w:pPr>
              <w:rPr>
                <w:rFonts w:cs="Arial"/>
                <w:szCs w:val="22"/>
              </w:rPr>
            </w:pPr>
            <w:r w:rsidRPr="003020E7">
              <w:rPr>
                <w:rFonts w:cs="Arial"/>
                <w:szCs w:val="22"/>
              </w:rPr>
              <w:t>Ein Jahr</w:t>
            </w:r>
          </w:p>
        </w:tc>
      </w:tr>
      <w:tr w:rsidR="003020E7" w:rsidRPr="003020E7" w14:paraId="50E20D2D" w14:textId="77777777" w:rsidTr="003D2731">
        <w:tc>
          <w:tcPr>
            <w:tcW w:w="3070" w:type="dxa"/>
          </w:tcPr>
          <w:p w14:paraId="078854A6" w14:textId="77777777" w:rsidR="003020E7" w:rsidRPr="003020E7" w:rsidRDefault="003020E7" w:rsidP="003D2731">
            <w:pPr>
              <w:rPr>
                <w:rFonts w:cs="Arial"/>
                <w:szCs w:val="22"/>
              </w:rPr>
            </w:pPr>
          </w:p>
        </w:tc>
        <w:tc>
          <w:tcPr>
            <w:tcW w:w="3070" w:type="dxa"/>
          </w:tcPr>
          <w:p w14:paraId="14240726" w14:textId="77777777" w:rsidR="003020E7" w:rsidRPr="003020E7" w:rsidRDefault="003020E7" w:rsidP="003D2731">
            <w:pPr>
              <w:rPr>
                <w:rFonts w:cs="Arial"/>
                <w:szCs w:val="22"/>
              </w:rPr>
            </w:pPr>
            <w:r w:rsidRPr="003020E7">
              <w:rPr>
                <w:rFonts w:cs="Arial"/>
                <w:szCs w:val="22"/>
              </w:rPr>
              <w:t>Käufer ist Unternehmer</w:t>
            </w:r>
          </w:p>
        </w:tc>
        <w:tc>
          <w:tcPr>
            <w:tcW w:w="3071" w:type="dxa"/>
          </w:tcPr>
          <w:p w14:paraId="4533020A" w14:textId="77777777" w:rsidR="003020E7" w:rsidRPr="003020E7" w:rsidRDefault="003020E7" w:rsidP="003D2731">
            <w:pPr>
              <w:rPr>
                <w:rFonts w:cs="Arial"/>
                <w:szCs w:val="22"/>
              </w:rPr>
            </w:pPr>
            <w:r w:rsidRPr="003020E7">
              <w:rPr>
                <w:rFonts w:cs="Arial"/>
                <w:szCs w:val="22"/>
              </w:rPr>
              <w:t>Keine</w:t>
            </w:r>
          </w:p>
        </w:tc>
      </w:tr>
    </w:tbl>
    <w:p w14:paraId="0B20657F" w14:textId="77777777" w:rsidR="003020E7" w:rsidRPr="003020E7" w:rsidRDefault="003020E7" w:rsidP="003020E7">
      <w:pPr>
        <w:rPr>
          <w:rFonts w:cs="Arial"/>
          <w:szCs w:val="22"/>
        </w:rPr>
      </w:pPr>
    </w:p>
    <w:p w14:paraId="74E26D0F" w14:textId="77777777" w:rsidR="003020E7" w:rsidRPr="003020E7" w:rsidRDefault="003020E7" w:rsidP="003020E7">
      <w:pPr>
        <w:rPr>
          <w:rFonts w:cs="Arial"/>
          <w:szCs w:val="22"/>
        </w:rPr>
      </w:pPr>
    </w:p>
    <w:p w14:paraId="2D7ED3EF" w14:textId="77777777" w:rsidR="003020E7" w:rsidRPr="003020E7" w:rsidRDefault="003020E7" w:rsidP="003020E7">
      <w:pPr>
        <w:rPr>
          <w:rFonts w:cs="Arial"/>
          <w:b/>
          <w:szCs w:val="22"/>
        </w:rPr>
      </w:pPr>
      <w:r w:rsidRPr="003020E7">
        <w:rPr>
          <w:rFonts w:cs="Arial"/>
          <w:b/>
          <w:szCs w:val="22"/>
        </w:rPr>
        <w:t>Unbebaute Grundstücke:</w:t>
      </w:r>
    </w:p>
    <w:tbl>
      <w:tblPr>
        <w:tblStyle w:val="Tabellenraster"/>
        <w:tblW w:w="0" w:type="auto"/>
        <w:tblLook w:val="04A0" w:firstRow="1" w:lastRow="0" w:firstColumn="1" w:lastColumn="0" w:noHBand="0" w:noVBand="1"/>
      </w:tblPr>
      <w:tblGrid>
        <w:gridCol w:w="3030"/>
        <w:gridCol w:w="3009"/>
        <w:gridCol w:w="3022"/>
      </w:tblGrid>
      <w:tr w:rsidR="003020E7" w:rsidRPr="003020E7" w14:paraId="3CDF1F9C" w14:textId="77777777" w:rsidTr="003D2731">
        <w:tc>
          <w:tcPr>
            <w:tcW w:w="3070" w:type="dxa"/>
          </w:tcPr>
          <w:p w14:paraId="7595387C" w14:textId="77777777" w:rsidR="003020E7" w:rsidRPr="003020E7" w:rsidRDefault="003020E7" w:rsidP="003D2731">
            <w:pPr>
              <w:rPr>
                <w:rFonts w:cs="Arial"/>
                <w:szCs w:val="22"/>
              </w:rPr>
            </w:pPr>
            <w:r w:rsidRPr="003020E7">
              <w:rPr>
                <w:rFonts w:cs="Arial"/>
                <w:szCs w:val="22"/>
              </w:rPr>
              <w:lastRenderedPageBreak/>
              <w:t>Bauwerke</w:t>
            </w:r>
          </w:p>
        </w:tc>
        <w:tc>
          <w:tcPr>
            <w:tcW w:w="3070" w:type="dxa"/>
          </w:tcPr>
          <w:p w14:paraId="78A4E3E1" w14:textId="77777777" w:rsidR="003020E7" w:rsidRPr="003020E7" w:rsidRDefault="003020E7" w:rsidP="003D2731">
            <w:pPr>
              <w:rPr>
                <w:rFonts w:cs="Arial"/>
                <w:szCs w:val="22"/>
              </w:rPr>
            </w:pPr>
          </w:p>
        </w:tc>
        <w:tc>
          <w:tcPr>
            <w:tcW w:w="3071" w:type="dxa"/>
          </w:tcPr>
          <w:p w14:paraId="68C7323C" w14:textId="77777777" w:rsidR="003020E7" w:rsidRPr="003020E7" w:rsidRDefault="003020E7" w:rsidP="003D2731">
            <w:pPr>
              <w:rPr>
                <w:rFonts w:cs="Arial"/>
                <w:szCs w:val="22"/>
              </w:rPr>
            </w:pPr>
          </w:p>
        </w:tc>
      </w:tr>
      <w:tr w:rsidR="003020E7" w:rsidRPr="003020E7" w14:paraId="353DBD5F" w14:textId="77777777" w:rsidTr="003D2731">
        <w:tc>
          <w:tcPr>
            <w:tcW w:w="3070" w:type="dxa"/>
          </w:tcPr>
          <w:p w14:paraId="56CC6828" w14:textId="77777777" w:rsidR="003020E7" w:rsidRPr="003020E7" w:rsidRDefault="003020E7" w:rsidP="003D2731">
            <w:pPr>
              <w:rPr>
                <w:rFonts w:cs="Arial"/>
                <w:szCs w:val="22"/>
              </w:rPr>
            </w:pPr>
            <w:r w:rsidRPr="003020E7">
              <w:rPr>
                <w:rFonts w:cs="Arial"/>
                <w:szCs w:val="22"/>
              </w:rPr>
              <w:t>Neubau</w:t>
            </w:r>
          </w:p>
        </w:tc>
        <w:tc>
          <w:tcPr>
            <w:tcW w:w="3070" w:type="dxa"/>
          </w:tcPr>
          <w:p w14:paraId="7AC4A11E" w14:textId="77777777" w:rsidR="003020E7" w:rsidRPr="003020E7" w:rsidRDefault="003020E7" w:rsidP="003D2731">
            <w:pPr>
              <w:rPr>
                <w:rFonts w:cs="Arial"/>
                <w:szCs w:val="22"/>
              </w:rPr>
            </w:pPr>
          </w:p>
        </w:tc>
        <w:tc>
          <w:tcPr>
            <w:tcW w:w="3071" w:type="dxa"/>
          </w:tcPr>
          <w:p w14:paraId="6465ECE3" w14:textId="77777777" w:rsidR="003020E7" w:rsidRPr="003020E7" w:rsidRDefault="003020E7" w:rsidP="003D2731">
            <w:pPr>
              <w:rPr>
                <w:rFonts w:cs="Arial"/>
                <w:szCs w:val="22"/>
              </w:rPr>
            </w:pPr>
            <w:r w:rsidRPr="003020E7">
              <w:rPr>
                <w:rFonts w:cs="Arial"/>
                <w:szCs w:val="22"/>
              </w:rPr>
              <w:t>Fünf Jahre</w:t>
            </w:r>
          </w:p>
        </w:tc>
      </w:tr>
      <w:tr w:rsidR="003020E7" w:rsidRPr="003020E7" w14:paraId="3F7E6311" w14:textId="77777777" w:rsidTr="003D2731">
        <w:tc>
          <w:tcPr>
            <w:tcW w:w="3070" w:type="dxa"/>
          </w:tcPr>
          <w:p w14:paraId="1C96B77C" w14:textId="77777777" w:rsidR="003020E7" w:rsidRPr="003020E7" w:rsidRDefault="003020E7" w:rsidP="003D2731">
            <w:pPr>
              <w:rPr>
                <w:rFonts w:cs="Arial"/>
                <w:szCs w:val="22"/>
              </w:rPr>
            </w:pPr>
            <w:r w:rsidRPr="003020E7">
              <w:rPr>
                <w:rFonts w:cs="Arial"/>
                <w:szCs w:val="22"/>
              </w:rPr>
              <w:t>Altbau</w:t>
            </w:r>
          </w:p>
        </w:tc>
        <w:tc>
          <w:tcPr>
            <w:tcW w:w="3070" w:type="dxa"/>
          </w:tcPr>
          <w:p w14:paraId="5D09DEF2" w14:textId="77777777" w:rsidR="003020E7" w:rsidRPr="003020E7" w:rsidRDefault="003020E7" w:rsidP="003D2731">
            <w:pPr>
              <w:rPr>
                <w:rFonts w:cs="Arial"/>
                <w:szCs w:val="22"/>
              </w:rPr>
            </w:pPr>
          </w:p>
        </w:tc>
        <w:tc>
          <w:tcPr>
            <w:tcW w:w="3071" w:type="dxa"/>
          </w:tcPr>
          <w:p w14:paraId="5EBACE04" w14:textId="77777777" w:rsidR="003020E7" w:rsidRPr="003020E7" w:rsidRDefault="003020E7" w:rsidP="003D2731">
            <w:pPr>
              <w:rPr>
                <w:rFonts w:cs="Arial"/>
                <w:szCs w:val="22"/>
              </w:rPr>
            </w:pPr>
            <w:r w:rsidRPr="003020E7">
              <w:rPr>
                <w:rFonts w:cs="Arial"/>
                <w:szCs w:val="22"/>
              </w:rPr>
              <w:t>Keine</w:t>
            </w:r>
          </w:p>
        </w:tc>
      </w:tr>
    </w:tbl>
    <w:p w14:paraId="001E6F1D" w14:textId="2A9955A6" w:rsidR="003020E7" w:rsidRPr="003020E7" w:rsidRDefault="003020E7" w:rsidP="00C16B81">
      <w:pPr>
        <w:rPr>
          <w:szCs w:val="22"/>
        </w:rPr>
      </w:pPr>
    </w:p>
    <w:p w14:paraId="577777EE" w14:textId="77777777" w:rsidR="003020E7" w:rsidRDefault="003020E7" w:rsidP="00C16B81"/>
    <w:p w14:paraId="7FDD4CBB" w14:textId="77777777" w:rsidR="00C16B81" w:rsidRDefault="00C16B81" w:rsidP="00B40336">
      <w:pPr>
        <w:pStyle w:val="berschrift5"/>
      </w:pPr>
      <w:r>
        <w:t>Mängelanzeigepflicht</w:t>
      </w:r>
    </w:p>
    <w:p w14:paraId="67D58F07" w14:textId="77777777" w:rsidR="00C16B81" w:rsidRDefault="00C16B81" w:rsidP="00C16B81">
      <w:pPr>
        <w:jc w:val="both"/>
      </w:pPr>
    </w:p>
    <w:p w14:paraId="06DCEB5E" w14:textId="77777777" w:rsidR="00C16B81" w:rsidRDefault="00C16B81" w:rsidP="00C16B81">
      <w:pPr>
        <w:jc w:val="both"/>
      </w:pPr>
      <w:r>
        <w:t>Für nicht offensichtliche Mängel darf die Mängelanzeigefrist nicht kürzer als ein Jahr in den AGB gesetzt werden. Fristbeginn ist der gesetzliche Verjährungsbeginn.</w:t>
      </w:r>
    </w:p>
    <w:p w14:paraId="643E373C" w14:textId="77777777" w:rsidR="00C16B81" w:rsidRDefault="00C16B81" w:rsidP="00C16B81">
      <w:pPr>
        <w:jc w:val="both"/>
      </w:pPr>
    </w:p>
    <w:p w14:paraId="41D9DA94" w14:textId="77777777" w:rsidR="00C16B81" w:rsidRDefault="00C16B81" w:rsidP="00C16B81">
      <w:pPr>
        <w:jc w:val="both"/>
      </w:pPr>
    </w:p>
    <w:p w14:paraId="5DA33B2D" w14:textId="77777777" w:rsidR="00C16B81" w:rsidRDefault="00C16B81" w:rsidP="00B40336">
      <w:pPr>
        <w:pStyle w:val="berschrift5"/>
      </w:pPr>
      <w:r>
        <w:t>Aufwendungsersatz bei Nacherfüllung</w:t>
      </w:r>
    </w:p>
    <w:p w14:paraId="5A221E43" w14:textId="77777777" w:rsidR="00C16B81" w:rsidRDefault="00C16B81" w:rsidP="00C16B81">
      <w:pPr>
        <w:jc w:val="both"/>
      </w:pPr>
    </w:p>
    <w:p w14:paraId="52D55DFD" w14:textId="24895750" w:rsidR="00C16B81" w:rsidRDefault="00C16B81" w:rsidP="00C16B81">
      <w:pPr>
        <w:jc w:val="both"/>
      </w:pPr>
      <w:r>
        <w:t xml:space="preserve">Der Verkäufer hat gemäß § 439 Abs. 2 BGB die zum Zwecke der Nacherfüllung erforderlichen Aufwendungen (z. B. Transport-, Wege-, Arbeits- und Materialkosten) zu tragen. Diese Pflicht darf durch AGB nicht ausgeschlossen werden. </w:t>
      </w:r>
    </w:p>
    <w:p w14:paraId="43E75D4C" w14:textId="1DF30028" w:rsidR="009D419B" w:rsidRDefault="009D419B" w:rsidP="00C16B81">
      <w:pPr>
        <w:jc w:val="both"/>
      </w:pPr>
    </w:p>
    <w:p w14:paraId="5C016C1E" w14:textId="77777777" w:rsidR="009D419B" w:rsidRDefault="009D419B" w:rsidP="009D419B">
      <w:pPr>
        <w:jc w:val="both"/>
      </w:pPr>
    </w:p>
    <w:p w14:paraId="3D9D9AF5" w14:textId="7141D569" w:rsidR="009D419B" w:rsidRDefault="009D419B" w:rsidP="009D419B">
      <w:pPr>
        <w:pStyle w:val="berschrift5"/>
      </w:pPr>
      <w:r>
        <w:t>Mängelhaftung – Verkäufer muss Aus- und Einbaukosten übernehmen</w:t>
      </w:r>
    </w:p>
    <w:p w14:paraId="05A514BC" w14:textId="77777777" w:rsidR="009D419B" w:rsidRPr="009D419B" w:rsidRDefault="009D419B" w:rsidP="009D419B"/>
    <w:p w14:paraId="0E59C651" w14:textId="624E7D99" w:rsidR="009D419B" w:rsidRDefault="009D419B" w:rsidP="009D419B">
      <w:pPr>
        <w:jc w:val="both"/>
      </w:pPr>
      <w:r>
        <w:t>Das neue Gesetz zur Nacherfüllung gem. Paragraf 439 Abs. 3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 Gemäß Paragraf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18663CAC" w14:textId="25325AB8" w:rsidR="003020E7" w:rsidRDefault="003020E7" w:rsidP="00C16B81">
      <w:pPr>
        <w:jc w:val="both"/>
      </w:pPr>
    </w:p>
    <w:p w14:paraId="17CEFC38" w14:textId="77777777" w:rsidR="003020E7" w:rsidRDefault="003020E7" w:rsidP="00C16B81">
      <w:pPr>
        <w:jc w:val="both"/>
      </w:pPr>
    </w:p>
    <w:p w14:paraId="5E839A89" w14:textId="77777777" w:rsidR="00C16B81" w:rsidRDefault="00C16B81" w:rsidP="00B40336">
      <w:pPr>
        <w:pStyle w:val="berschrift5"/>
      </w:pPr>
      <w:r>
        <w:t>Beschränkung auf Nacherfüllung</w:t>
      </w:r>
    </w:p>
    <w:p w14:paraId="79CC5B9F" w14:textId="77777777" w:rsidR="00C16B81" w:rsidRDefault="00C16B81" w:rsidP="00C16B81">
      <w:pPr>
        <w:jc w:val="both"/>
      </w:pPr>
    </w:p>
    <w:p w14:paraId="2FE3EB82" w14:textId="77777777" w:rsidR="00C16B81" w:rsidRDefault="00C16B81" w:rsidP="00C16B81">
      <w:pPr>
        <w:jc w:val="both"/>
      </w:pPr>
      <w:r>
        <w:t>Der Käufer kann bei einer mangelhaften Sache als Nacherfüllung nach seiner Wahl die Beseitigung des Mangels oder die Lieferung einer mangelfreien Sache</w:t>
      </w:r>
      <w:r w:rsidRPr="009F0317">
        <w:t xml:space="preserve"> oder bei Vorliegen der Voraussetzungen auch Schadenersatz </w:t>
      </w:r>
      <w:r>
        <w:t xml:space="preserve">verlangen. Erst wenn die Nacherfüllung nicht gelingt, nicht möglich oder nicht zumutbar ist, kann der Käufer – in zweiter Linie – Gewährleistungsrechte geltend machen: Rücktritt oder Minderung.  Beschränkungen allein auf die Nacherfüllung sind unwirksam, wenn dem anderen Vertragsteil bei Fehlschlagen der Nacherfüllung das Minderungsrecht aberkannt wird. </w:t>
      </w:r>
    </w:p>
    <w:p w14:paraId="55CEA0BC" w14:textId="77777777" w:rsidR="00C16B81" w:rsidRDefault="00C16B81" w:rsidP="00C16B81">
      <w:pPr>
        <w:jc w:val="both"/>
      </w:pPr>
    </w:p>
    <w:p w14:paraId="72F92336" w14:textId="77777777" w:rsidR="00C16B81" w:rsidRDefault="00C16B81" w:rsidP="00C16B81">
      <w:pPr>
        <w:jc w:val="both"/>
      </w:pPr>
    </w:p>
    <w:p w14:paraId="5AC8C36E" w14:textId="77777777" w:rsidR="00C16B81" w:rsidRDefault="00C16B81" w:rsidP="00B40336">
      <w:pPr>
        <w:pStyle w:val="berschrift5"/>
      </w:pPr>
      <w:r>
        <w:t>Haftungsbeschränkungen</w:t>
      </w:r>
    </w:p>
    <w:p w14:paraId="62FE33B1" w14:textId="77777777" w:rsidR="00C16B81" w:rsidRDefault="00C16B81" w:rsidP="00B40336">
      <w:pPr>
        <w:jc w:val="both"/>
      </w:pPr>
    </w:p>
    <w:p w14:paraId="4D11FA3F" w14:textId="77777777" w:rsidR="00C16B81" w:rsidRDefault="00C16B81" w:rsidP="00C16B81">
      <w:pPr>
        <w:jc w:val="both"/>
      </w:pPr>
      <w: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45BA20C6" w14:textId="77777777" w:rsidR="00C16B81" w:rsidRDefault="00C16B81" w:rsidP="00C16B81">
      <w:pPr>
        <w:jc w:val="both"/>
      </w:pPr>
    </w:p>
    <w:p w14:paraId="10881643" w14:textId="77777777" w:rsidR="00C16B81" w:rsidRDefault="00C16B81" w:rsidP="00C16B81">
      <w:pPr>
        <w:jc w:val="both"/>
      </w:pPr>
    </w:p>
    <w:p w14:paraId="4FCAC302" w14:textId="77777777" w:rsidR="00C16B81" w:rsidRDefault="00C16B81" w:rsidP="00C16B81">
      <w:pPr>
        <w:pStyle w:val="berschrift5"/>
      </w:pPr>
      <w:r>
        <w:t>Höhe der Verzugszinsen</w:t>
      </w:r>
    </w:p>
    <w:p w14:paraId="30A8062F" w14:textId="77777777" w:rsidR="00C16B81" w:rsidRDefault="00C16B81" w:rsidP="00C16B81">
      <w:pPr>
        <w:jc w:val="both"/>
      </w:pPr>
    </w:p>
    <w:p w14:paraId="3902067A" w14:textId="160929A5" w:rsidR="00C16B81" w:rsidRDefault="00C16B81" w:rsidP="00C16B81">
      <w:pPr>
        <w:jc w:val="both"/>
      </w:pPr>
      <w:r>
        <w:t xml:space="preserve">Ab Beginn des Verzugs schuldet der Käufer dem Verkäufer zusätzlich zum Kaufpreis Verzugszinsen. Ist an dem Kaufvertrag ein Verbraucher beteiligt, sei es als Käufer oder als </w:t>
      </w:r>
      <w:r>
        <w:lastRenderedPageBreak/>
        <w:t>Verkäufer, beträgt der Zinssatz 5 % über dem Basiszinssatz. Bei Kaufverträgen zwischen Unternehmern wird der Zinssatz durch die Schuldrechtsreform auf 8 % über dem Basiszinssatz erhöht.</w:t>
      </w:r>
    </w:p>
    <w:p w14:paraId="788F5D5B" w14:textId="77777777" w:rsidR="00A55816" w:rsidRDefault="00A55816" w:rsidP="00C16B81">
      <w:pPr>
        <w:jc w:val="both"/>
      </w:pPr>
    </w:p>
    <w:p w14:paraId="1DBF4226" w14:textId="77777777" w:rsidR="005D41B2" w:rsidRDefault="00C16B81" w:rsidP="00785E89">
      <w:pPr>
        <w:rPr>
          <w:b/>
        </w:rPr>
      </w:pPr>
      <w:r>
        <w:t xml:space="preserve">Unter </w:t>
      </w:r>
      <w:hyperlink r:id="rId15" w:history="1">
        <w:r w:rsidR="00785E89" w:rsidRPr="003A7E80">
          <w:rPr>
            <w:rStyle w:val="Hyperlink"/>
          </w:rPr>
          <w:t>https://www.bundesbank.de/de/bundesbank/organisation/agb-und-regelungen/basiszinssatz-607820</w:t>
        </w:r>
      </w:hyperlink>
      <w:r w:rsidR="00785E89">
        <w:t xml:space="preserve"> </w:t>
      </w:r>
      <w:r>
        <w:t>können die aktuellen Basiszinssätze ermittelt werden.</w:t>
      </w:r>
    </w:p>
    <w:sectPr w:rsidR="005D41B2">
      <w:headerReference w:type="even" r:id="rId16"/>
      <w:headerReference w:type="default" r:id="rId17"/>
      <w:footerReference w:type="even" r:id="rId18"/>
      <w:footerReference w:type="default" r:id="rId19"/>
      <w:headerReference w:type="first" r:id="rId20"/>
      <w:footerReference w:type="first" r:id="rId2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042D3" w14:textId="77777777" w:rsidR="00314CDC" w:rsidRDefault="00314CDC">
      <w:r>
        <w:separator/>
      </w:r>
    </w:p>
  </w:endnote>
  <w:endnote w:type="continuationSeparator" w:id="0">
    <w:p w14:paraId="79A90CC6" w14:textId="77777777" w:rsidR="00314CDC" w:rsidRDefault="0031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FDD4" w14:textId="77777777" w:rsidR="00785E89" w:rsidRDefault="00785E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D7BB" w14:textId="77777777" w:rsidR="00C66C99" w:rsidRPr="00C66C99" w:rsidRDefault="00C66C99" w:rsidP="00C66C99">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34C8A">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34C8A">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0879" w14:textId="77777777" w:rsidR="00785E89" w:rsidRDefault="00785E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EAF86" w14:textId="77777777" w:rsidR="00314CDC" w:rsidRDefault="00314CDC">
      <w:r>
        <w:separator/>
      </w:r>
    </w:p>
  </w:footnote>
  <w:footnote w:type="continuationSeparator" w:id="0">
    <w:p w14:paraId="3EC56B67" w14:textId="77777777" w:rsidR="00314CDC" w:rsidRDefault="0031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DE46" w14:textId="77777777" w:rsidR="00785E89" w:rsidRDefault="00785E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56DEE" w14:textId="77777777" w:rsidR="006D32EB" w:rsidRDefault="006D32EB">
    <w:pPr>
      <w:pStyle w:val="Kopfzeile"/>
      <w:rPr>
        <w:color w:val="808080"/>
      </w:rPr>
    </w:pPr>
  </w:p>
  <w:p w14:paraId="63972CE2" w14:textId="77777777" w:rsidR="006D32EB" w:rsidRDefault="006D32EB">
    <w:pPr>
      <w:pStyle w:val="Kopfzeile"/>
      <w:rPr>
        <w:color w:val="808080"/>
      </w:rPr>
    </w:pPr>
  </w:p>
  <w:p w14:paraId="39A1C9BF" w14:textId="77777777" w:rsidR="006D32EB" w:rsidRDefault="006D32EB">
    <w:pPr>
      <w:pStyle w:val="Kopfzeile"/>
      <w:rPr>
        <w:color w:val="808080"/>
      </w:rPr>
    </w:pPr>
  </w:p>
  <w:p w14:paraId="0EC57098" w14:textId="77777777" w:rsidR="006D32EB" w:rsidRDefault="006D32EB">
    <w:pPr>
      <w:pStyle w:val="Kopfzeile"/>
      <w:rPr>
        <w:color w:val="808080"/>
      </w:rPr>
    </w:pPr>
  </w:p>
  <w:p w14:paraId="477D2048" w14:textId="5307FF1F"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E2A" w14:textId="77777777" w:rsidR="00785E89" w:rsidRDefault="00785E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863F3"/>
    <w:multiLevelType w:val="hybridMultilevel"/>
    <w:tmpl w:val="7BA00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DB68EC"/>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105055"/>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536A5E"/>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0D70D7"/>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12"/>
    <w:rsid w:val="000459BF"/>
    <w:rsid w:val="000834FA"/>
    <w:rsid w:val="00086F57"/>
    <w:rsid w:val="000A02E5"/>
    <w:rsid w:val="00101FDB"/>
    <w:rsid w:val="001045FC"/>
    <w:rsid w:val="0011284E"/>
    <w:rsid w:val="00136734"/>
    <w:rsid w:val="001535E9"/>
    <w:rsid w:val="00153B0E"/>
    <w:rsid w:val="0016349B"/>
    <w:rsid w:val="00187EFA"/>
    <w:rsid w:val="00190B1A"/>
    <w:rsid w:val="00201FD1"/>
    <w:rsid w:val="002237C2"/>
    <w:rsid w:val="00237773"/>
    <w:rsid w:val="002C0749"/>
    <w:rsid w:val="002C3D04"/>
    <w:rsid w:val="003020E7"/>
    <w:rsid w:val="00314CDC"/>
    <w:rsid w:val="00326FF2"/>
    <w:rsid w:val="00342004"/>
    <w:rsid w:val="00373C67"/>
    <w:rsid w:val="00391D4F"/>
    <w:rsid w:val="00400010"/>
    <w:rsid w:val="0042118A"/>
    <w:rsid w:val="004310A4"/>
    <w:rsid w:val="00446658"/>
    <w:rsid w:val="00485D8E"/>
    <w:rsid w:val="00526CB3"/>
    <w:rsid w:val="005A2EC4"/>
    <w:rsid w:val="005D41B2"/>
    <w:rsid w:val="005D6B25"/>
    <w:rsid w:val="00620267"/>
    <w:rsid w:val="006B43EF"/>
    <w:rsid w:val="006D32EB"/>
    <w:rsid w:val="007038AA"/>
    <w:rsid w:val="00734C8A"/>
    <w:rsid w:val="007417CB"/>
    <w:rsid w:val="00782FB8"/>
    <w:rsid w:val="00785E89"/>
    <w:rsid w:val="0084046D"/>
    <w:rsid w:val="00862420"/>
    <w:rsid w:val="00863200"/>
    <w:rsid w:val="0087551D"/>
    <w:rsid w:val="008A7386"/>
    <w:rsid w:val="00902FB8"/>
    <w:rsid w:val="00936BA4"/>
    <w:rsid w:val="009406DA"/>
    <w:rsid w:val="00976663"/>
    <w:rsid w:val="009802B0"/>
    <w:rsid w:val="009D08BE"/>
    <w:rsid w:val="009D1DD0"/>
    <w:rsid w:val="009D3747"/>
    <w:rsid w:val="009D419B"/>
    <w:rsid w:val="009F6FD5"/>
    <w:rsid w:val="00A05B9A"/>
    <w:rsid w:val="00A16A4F"/>
    <w:rsid w:val="00A23525"/>
    <w:rsid w:val="00A243B2"/>
    <w:rsid w:val="00A55816"/>
    <w:rsid w:val="00A96996"/>
    <w:rsid w:val="00AC0D12"/>
    <w:rsid w:val="00B03F05"/>
    <w:rsid w:val="00B3618A"/>
    <w:rsid w:val="00B40336"/>
    <w:rsid w:val="00B42C71"/>
    <w:rsid w:val="00B51B5D"/>
    <w:rsid w:val="00B75D64"/>
    <w:rsid w:val="00B93188"/>
    <w:rsid w:val="00BC2ED0"/>
    <w:rsid w:val="00BE65D1"/>
    <w:rsid w:val="00C04092"/>
    <w:rsid w:val="00C15D83"/>
    <w:rsid w:val="00C16B81"/>
    <w:rsid w:val="00C4181B"/>
    <w:rsid w:val="00C543B4"/>
    <w:rsid w:val="00C66C99"/>
    <w:rsid w:val="00C71F78"/>
    <w:rsid w:val="00CD4E48"/>
    <w:rsid w:val="00D665F3"/>
    <w:rsid w:val="00D72512"/>
    <w:rsid w:val="00D74549"/>
    <w:rsid w:val="00DB310F"/>
    <w:rsid w:val="00DD4B22"/>
    <w:rsid w:val="00E14FD5"/>
    <w:rsid w:val="00E21725"/>
    <w:rsid w:val="00E3714A"/>
    <w:rsid w:val="00E66121"/>
    <w:rsid w:val="00EA6C20"/>
    <w:rsid w:val="00EC3795"/>
    <w:rsid w:val="00FC2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5E6D13"/>
  <w15:chartTrackingRefBased/>
  <w15:docId w15:val="{F9BF642E-9B03-4552-ADD5-102B634B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237773"/>
    <w:pPr>
      <w:keepNext/>
      <w:outlineLvl w:val="0"/>
    </w:pPr>
    <w:rPr>
      <w:sz w:val="80"/>
    </w:rPr>
  </w:style>
  <w:style w:type="paragraph" w:styleId="berschrift2">
    <w:name w:val="heading 2"/>
    <w:basedOn w:val="Standard"/>
    <w:next w:val="Standard"/>
    <w:qFormat/>
    <w:rsid w:val="0042118A"/>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237773"/>
    <w:rPr>
      <w:rFonts w:ascii="Arial" w:hAnsi="Arial"/>
      <w:sz w:val="80"/>
    </w:rPr>
  </w:style>
  <w:style w:type="character" w:styleId="Funotenzeichen">
    <w:name w:val="footnote reference"/>
    <w:uiPriority w:val="99"/>
    <w:semiHidden/>
    <w:unhideWhenUsed/>
    <w:rsid w:val="001045FC"/>
    <w:rPr>
      <w:vertAlign w:val="superscript"/>
    </w:rPr>
  </w:style>
  <w:style w:type="paragraph" w:styleId="Listenabsatz">
    <w:name w:val="List Paragraph"/>
    <w:basedOn w:val="Standard"/>
    <w:uiPriority w:val="34"/>
    <w:qFormat/>
    <w:rsid w:val="006B43EF"/>
    <w:pPr>
      <w:ind w:left="708"/>
    </w:pPr>
  </w:style>
  <w:style w:type="paragraph" w:styleId="Sprechblasentext">
    <w:name w:val="Balloon Text"/>
    <w:basedOn w:val="Standard"/>
    <w:link w:val="SprechblasentextZchn"/>
    <w:uiPriority w:val="99"/>
    <w:semiHidden/>
    <w:unhideWhenUsed/>
    <w:rsid w:val="00485D8E"/>
    <w:rPr>
      <w:rFonts w:ascii="Tahoma" w:hAnsi="Tahoma" w:cs="Tahoma"/>
      <w:sz w:val="16"/>
      <w:szCs w:val="16"/>
    </w:rPr>
  </w:style>
  <w:style w:type="character" w:customStyle="1" w:styleId="SprechblasentextZchn">
    <w:name w:val="Sprechblasentext Zchn"/>
    <w:link w:val="Sprechblasentext"/>
    <w:uiPriority w:val="99"/>
    <w:semiHidden/>
    <w:rsid w:val="00485D8E"/>
    <w:rPr>
      <w:rFonts w:ascii="Tahoma" w:hAnsi="Tahoma" w:cs="Tahoma"/>
      <w:sz w:val="16"/>
      <w:szCs w:val="16"/>
    </w:rPr>
  </w:style>
  <w:style w:type="character" w:customStyle="1" w:styleId="FuzeileZchn">
    <w:name w:val="Fußzeile Zchn"/>
    <w:link w:val="Fuzeile"/>
    <w:uiPriority w:val="99"/>
    <w:rsid w:val="00C66C99"/>
    <w:rPr>
      <w:rFonts w:ascii="Arial" w:hAnsi="Arial"/>
      <w:sz w:val="22"/>
    </w:rPr>
  </w:style>
  <w:style w:type="character" w:styleId="NichtaufgelsteErwhnung">
    <w:name w:val="Unresolved Mention"/>
    <w:uiPriority w:val="99"/>
    <w:semiHidden/>
    <w:unhideWhenUsed/>
    <w:rsid w:val="00785E89"/>
    <w:rPr>
      <w:color w:val="605E5C"/>
      <w:shd w:val="clear" w:color="auto" w:fill="E1DFDD"/>
    </w:rPr>
  </w:style>
  <w:style w:type="table" w:styleId="Tabellenraster">
    <w:name w:val="Table Grid"/>
    <w:basedOn w:val="NormaleTabelle"/>
    <w:uiPriority w:val="59"/>
    <w:rsid w:val="003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k.de/fuer-verbraucher/anwaltssuch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undesbank.de/de/bundesbank/organisation/agb-und-regelungen/basiszinssatz-6078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waltauskunft.de/anwaltssuche"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2" ma:contentTypeDescription="Ein neues Dokument erstellen." ma:contentTypeScope="" ma:versionID="e9aaa373f493d57ec15c9a739324127e">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e60fd801432e05f1340bb7f6ff64d49a"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4774-7B2E-4C8D-A3CA-90C5EBB6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C2A53-2FD4-45C4-A245-65C6E09A1431}">
  <ds:schemaRefs>
    <ds:schemaRef ds:uri="http://schemas.microsoft.com/office/infopath/2007/PartnerControls"/>
    <ds:schemaRef ds:uri="d978a1e9-00ef-4ae4-b976-f4d556b3d736"/>
    <ds:schemaRef ds:uri="http://purl.org/dc/dcmitype/"/>
    <ds:schemaRef ds:uri="http://purl.org/dc/terms/"/>
    <ds:schemaRef ds:uri="http://schemas.microsoft.com/office/2006/documentManagement/types"/>
    <ds:schemaRef ds:uri="db575a55-87af-4d9b-8312-76231871612f"/>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850FECE-5BAD-4093-914A-14D35851B896}">
  <ds:schemaRefs>
    <ds:schemaRef ds:uri="http://schemas.microsoft.com/sharepoint/v3/contenttype/forms"/>
  </ds:schemaRefs>
</ds:datastoreItem>
</file>

<file path=customXml/itemProps4.xml><?xml version="1.0" encoding="utf-8"?>
<ds:datastoreItem xmlns:ds="http://schemas.openxmlformats.org/officeDocument/2006/customXml" ds:itemID="{7BCB4CE1-0B66-41E5-AD8F-F4BC273E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2556</Words>
  <Characters>17468</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AGB-Muster für den kaufmännischen Geschäftsverkehr</vt:lpstr>
    </vt:vector>
  </TitlesOfParts>
  <Company>IHK Offenbach</Company>
  <LinksUpToDate>false</LinksUpToDate>
  <CharactersWithSpaces>19985</CharactersWithSpaces>
  <SharedDoc>false</SharedDoc>
  <HLinks>
    <vt:vector size="18" baseType="variant">
      <vt:variant>
        <vt:i4>1638473</vt:i4>
      </vt:variant>
      <vt:variant>
        <vt:i4>6</vt:i4>
      </vt:variant>
      <vt:variant>
        <vt:i4>0</vt:i4>
      </vt:variant>
      <vt:variant>
        <vt:i4>5</vt:i4>
      </vt:variant>
      <vt:variant>
        <vt:lpwstr>https://www.bundesbank.de/de/bundesbank/organisation/agb-und-regelungen/basiszinssatz-607820</vt:lpwstr>
      </vt:variant>
      <vt:variant>
        <vt:lpwstr/>
      </vt: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AGB-Muster für den kaufmännischen Geschäftsverkehr</dc:title>
  <dc:subject/>
  <dc:creator>IHK Offenbach</dc:creator>
  <cp:keywords/>
  <cp:lastModifiedBy>Stöhr, Patrick</cp:lastModifiedBy>
  <cp:revision>10</cp:revision>
  <cp:lastPrinted>2018-01-29T13:59:00Z</cp:lastPrinted>
  <dcterms:created xsi:type="dcterms:W3CDTF">2020-12-09T13:49:00Z</dcterms:created>
  <dcterms:modified xsi:type="dcterms:W3CDTF">2021-09-07T12:05:00Z</dcterms:modified>
  <cp:category>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ies>
</file>