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pPr>
        <w:rPr>
          <w:sz w:val="72"/>
          <w:szCs w:val="72"/>
        </w:rPr>
      </w:pPr>
      <w:r w:rsidRPr="00B40C59">
        <w:rPr>
          <w:sz w:val="72"/>
          <w:szCs w:val="72"/>
        </w:rPr>
        <w:t xml:space="preserve">Mustervertrag </w:t>
      </w:r>
    </w:p>
    <w:p w14:paraId="166D6639" w14:textId="77777777" w:rsidR="006D32EB" w:rsidRPr="00B40C59" w:rsidRDefault="006D32EB">
      <w:pPr>
        <w:rPr>
          <w:sz w:val="72"/>
          <w:szCs w:val="72"/>
        </w:rPr>
      </w:pPr>
    </w:p>
    <w:p w14:paraId="7DF75FE3" w14:textId="77777777" w:rsidR="009328E2" w:rsidRPr="00B40C59" w:rsidRDefault="009328E2" w:rsidP="00D37D47">
      <w:pPr>
        <w:rPr>
          <w:sz w:val="72"/>
          <w:szCs w:val="72"/>
        </w:rPr>
      </w:pPr>
      <w:r w:rsidRPr="00B40C59">
        <w:rPr>
          <w:sz w:val="72"/>
          <w:szCs w:val="72"/>
        </w:rPr>
        <w:t>Allgemeine</w:t>
      </w:r>
    </w:p>
    <w:p w14:paraId="162676BC" w14:textId="77777777" w:rsidR="009328E2" w:rsidRPr="00B40C59" w:rsidRDefault="009328E2" w:rsidP="00D37D47">
      <w:pPr>
        <w:rPr>
          <w:sz w:val="72"/>
          <w:szCs w:val="72"/>
        </w:rPr>
      </w:pPr>
    </w:p>
    <w:p w14:paraId="5CA5DA18" w14:textId="77777777" w:rsidR="009328E2" w:rsidRPr="00B40C59" w:rsidRDefault="009328E2" w:rsidP="00D37D47">
      <w:pPr>
        <w:rPr>
          <w:sz w:val="72"/>
          <w:szCs w:val="72"/>
        </w:rPr>
      </w:pPr>
      <w:r w:rsidRPr="00B40C59">
        <w:rPr>
          <w:sz w:val="72"/>
          <w:szCs w:val="72"/>
        </w:rPr>
        <w:t>Verkaufsbedingungen</w:t>
      </w:r>
      <w:r w:rsidR="00D37D47" w:rsidRPr="00B40C59">
        <w:rPr>
          <w:sz w:val="72"/>
          <w:szCs w:val="72"/>
        </w:rPr>
        <w:t xml:space="preserve"> </w:t>
      </w:r>
      <w:r w:rsidRPr="00B40C59">
        <w:rPr>
          <w:sz w:val="72"/>
          <w:szCs w:val="72"/>
        </w:rPr>
        <w:t>(AGB)</w:t>
      </w:r>
    </w:p>
    <w:p w14:paraId="61ACB5B7" w14:textId="77777777" w:rsidR="009328E2" w:rsidRPr="00B40C59" w:rsidRDefault="009328E2" w:rsidP="00D37D47">
      <w:pPr>
        <w:rPr>
          <w:sz w:val="72"/>
          <w:szCs w:val="72"/>
        </w:rPr>
      </w:pPr>
    </w:p>
    <w:p w14:paraId="39C41602" w14:textId="77777777" w:rsidR="009328E2" w:rsidRPr="00B40C59" w:rsidRDefault="009328E2" w:rsidP="00D37D47">
      <w:pPr>
        <w:spacing w:line="360" w:lineRule="auto"/>
        <w:rPr>
          <w:sz w:val="40"/>
          <w:szCs w:val="40"/>
        </w:rPr>
      </w:pPr>
      <w:r w:rsidRPr="00B40C59">
        <w:rPr>
          <w:sz w:val="40"/>
          <w:szCs w:val="40"/>
        </w:rPr>
        <w:t xml:space="preserve">für den </w:t>
      </w:r>
      <w:r w:rsidRPr="00B40C59">
        <w:rPr>
          <w:sz w:val="40"/>
          <w:szCs w:val="40"/>
          <w:u w:val="single"/>
        </w:rPr>
        <w:t>kaufmännischen</w:t>
      </w:r>
      <w:r w:rsidRPr="00B40C59">
        <w:rPr>
          <w:sz w:val="40"/>
          <w:szCs w:val="40"/>
        </w:rPr>
        <w:t xml:space="preserve"> Verkehr</w:t>
      </w:r>
    </w:p>
    <w:p w14:paraId="328D0D1D" w14:textId="77777777" w:rsidR="006D32EB" w:rsidRPr="00B40C59" w:rsidRDefault="009328E2" w:rsidP="00D37D47">
      <w:pPr>
        <w:rPr>
          <w:sz w:val="40"/>
          <w:szCs w:val="40"/>
        </w:rPr>
      </w:pPr>
      <w:r w:rsidRPr="00B40C59">
        <w:rPr>
          <w:sz w:val="40"/>
          <w:szCs w:val="40"/>
        </w:rPr>
        <w:t>(Verkäufer</w:t>
      </w:r>
      <w:r w:rsidR="00702194" w:rsidRPr="00B40C59">
        <w:rPr>
          <w:sz w:val="40"/>
          <w:szCs w:val="40"/>
        </w:rPr>
        <w:t xml:space="preserve"> </w:t>
      </w:r>
      <w:r w:rsidRPr="00B40C59">
        <w:rPr>
          <w:sz w:val="40"/>
          <w:szCs w:val="40"/>
        </w:rPr>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7EB52AF6" w14:textId="77777777" w:rsidR="006D32EB" w:rsidRPr="00D37D47" w:rsidRDefault="006D32EB" w:rsidP="00D37D47">
      <w:pPr>
        <w:rPr>
          <w:sz w:val="28"/>
          <w:szCs w:val="28"/>
        </w:rPr>
      </w:pPr>
    </w:p>
    <w:p w14:paraId="073E2D96" w14:textId="77777777" w:rsidR="006D32EB" w:rsidRPr="00D37D47" w:rsidRDefault="006D32EB" w:rsidP="00D37D47">
      <w:pPr>
        <w:rPr>
          <w:sz w:val="28"/>
          <w:szCs w:val="28"/>
        </w:rPr>
      </w:pPr>
    </w:p>
    <w:p w14:paraId="77677DAC" w14:textId="77777777" w:rsidR="00782FB8" w:rsidRPr="00D37D47" w:rsidRDefault="00782FB8" w:rsidP="00D37D47">
      <w:pPr>
        <w:rPr>
          <w:sz w:val="28"/>
          <w:szCs w:val="28"/>
        </w:rPr>
      </w:pP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04CBC932" w14:textId="77777777" w:rsidR="00D37D47" w:rsidRDefault="00D37D47" w:rsidP="00D37D47">
      <w:pPr>
        <w:rPr>
          <w:sz w:val="28"/>
          <w:szCs w:val="28"/>
        </w:rPr>
      </w:pPr>
    </w:p>
    <w:p w14:paraId="18F2409C" w14:textId="77777777" w:rsidR="00D37D47" w:rsidRDefault="00D37D47"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D37D47">
      <w:pPr>
        <w:rPr>
          <w:b/>
          <w:sz w:val="28"/>
          <w:szCs w:val="28"/>
        </w:rPr>
      </w:pPr>
      <w:r w:rsidRPr="00D37D47">
        <w:rPr>
          <w:b/>
          <w:sz w:val="28"/>
          <w:szCs w:val="28"/>
        </w:rPr>
        <w:lastRenderedPageBreak/>
        <w:t>Vorwort</w:t>
      </w:r>
    </w:p>
    <w:p w14:paraId="7D6A17C5" w14:textId="77777777" w:rsidR="00181BE8" w:rsidRPr="00D37D47" w:rsidRDefault="00181BE8" w:rsidP="00D37D47">
      <w:pPr>
        <w:rPr>
          <w:sz w:val="24"/>
          <w:szCs w:val="24"/>
        </w:rPr>
      </w:pPr>
    </w:p>
    <w:p w14:paraId="6A1ECAAA" w14:textId="77777777"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3A51C8EE" w14:textId="77777777" w:rsidR="00181BE8" w:rsidRPr="00D37D47" w:rsidRDefault="00181BE8" w:rsidP="0066588D">
      <w:pPr>
        <w:spacing w:line="360" w:lineRule="auto"/>
        <w:jc w:val="both"/>
        <w:rPr>
          <w:sz w:val="24"/>
          <w:szCs w:val="24"/>
        </w:rPr>
      </w:pPr>
    </w:p>
    <w:p w14:paraId="6E961EE3" w14:textId="77777777" w:rsidR="00181BE8" w:rsidRPr="00D37D47" w:rsidRDefault="00181BE8" w:rsidP="0066588D">
      <w:pPr>
        <w:spacing w:line="360" w:lineRule="auto"/>
        <w:jc w:val="both"/>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D37D47">
      <w:pPr>
        <w:spacing w:line="360" w:lineRule="auto"/>
        <w:rPr>
          <w:b/>
          <w:sz w:val="28"/>
          <w:szCs w:val="28"/>
        </w:rPr>
      </w:pPr>
      <w:r w:rsidRPr="00D37D47">
        <w:rPr>
          <w:b/>
          <w:sz w:val="28"/>
          <w:szCs w:val="28"/>
        </w:rPr>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 xml:space="preserve">Vor einer Übernahme des unveränderten Inhaltes muss daher im eigenen Interesse genau überlegt werden, ob und in welchen Teilen gegebenenfalls eine Anpassung an die konkret </w:t>
      </w:r>
      <w:proofErr w:type="gramStart"/>
      <w:r w:rsidRPr="00D37D47">
        <w:rPr>
          <w:sz w:val="24"/>
          <w:szCs w:val="24"/>
        </w:rPr>
        <w:t>zu regelnde Situation</w:t>
      </w:r>
      <w:proofErr w:type="gramEnd"/>
      <w:r w:rsidRPr="00D37D47">
        <w:rPr>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12768CCD" w14:textId="77777777" w:rsidR="00181BE8" w:rsidRPr="00D37D47" w:rsidRDefault="00181BE8" w:rsidP="00D37D47">
      <w:pPr>
        <w:rPr>
          <w:b/>
          <w:sz w:val="24"/>
          <w:szCs w:val="24"/>
        </w:rPr>
      </w:pPr>
      <w:r>
        <w:br w:type="page"/>
      </w:r>
      <w:r w:rsidRPr="00D37D47">
        <w:rPr>
          <w:b/>
          <w:sz w:val="28"/>
          <w:szCs w:val="28"/>
        </w:rPr>
        <w:lastRenderedPageBreak/>
        <w:t>Allgemeine Verkaufsbedingungen</w:t>
      </w:r>
      <w:r w:rsidR="00DC47CA">
        <w:rPr>
          <w:b/>
          <w:sz w:val="24"/>
          <w:szCs w:val="24"/>
        </w:rPr>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DC47CA">
      <w:pPr>
        <w:pStyle w:val="Listenabsatz"/>
        <w:numPr>
          <w:ilvl w:val="0"/>
          <w:numId w:val="11"/>
        </w:numPr>
        <w:ind w:left="360"/>
        <w:jc w:val="both"/>
        <w:rPr>
          <w:sz w:val="24"/>
          <w:szCs w:val="24"/>
        </w:rPr>
      </w:pPr>
      <w:r w:rsidRPr="00CF7AEB">
        <w:rPr>
          <w:b/>
          <w:sz w:val="24"/>
          <w:szCs w:val="24"/>
        </w:rPr>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14CD3552"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(Paragr</w:t>
      </w:r>
      <w:r w:rsidR="00F37A35">
        <w:rPr>
          <w:sz w:val="24"/>
          <w:szCs w:val="24"/>
        </w:rPr>
        <w:t>af</w:t>
      </w:r>
      <w:r>
        <w:rPr>
          <w:sz w:val="24"/>
          <w:szCs w:val="24"/>
        </w:rPr>
        <w:t xml:space="preserve"> 14 BGB), eine juristische Person des öffentlichen Rechts oder ein öffentlich-rechtliches Sondervermögen </w:t>
      </w:r>
      <w:r w:rsidR="00F37A35">
        <w:rPr>
          <w:sz w:val="24"/>
          <w:szCs w:val="24"/>
        </w:rPr>
        <w:t xml:space="preserve">im Sinne von Paragraf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68FB16A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xml:space="preserve">, ob wir die Ware selbst herstellen oder bei Zulieferern einkaufen (Paragrafen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lastRenderedPageBreak/>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CE592F">
      <w:pPr>
        <w:pStyle w:val="Listenabsatz"/>
        <w:numPr>
          <w:ilvl w:val="0"/>
          <w:numId w:val="11"/>
        </w:numPr>
        <w:ind w:left="360"/>
        <w:jc w:val="both"/>
        <w:rPr>
          <w:sz w:val="24"/>
          <w:szCs w:val="24"/>
        </w:rPr>
      </w:pPr>
      <w:r w:rsidRPr="00CF7AEB">
        <w:rPr>
          <w:b/>
          <w:sz w:val="24"/>
          <w:szCs w:val="24"/>
        </w:rPr>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35155C99"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Paragraf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CE592F">
      <w:pPr>
        <w:pStyle w:val="Listenabsatz"/>
        <w:numPr>
          <w:ilvl w:val="0"/>
          <w:numId w:val="11"/>
        </w:numPr>
        <w:ind w:left="360"/>
        <w:jc w:val="both"/>
        <w:rPr>
          <w:sz w:val="24"/>
          <w:szCs w:val="24"/>
        </w:rPr>
      </w:pPr>
      <w:r>
        <w:rPr>
          <w:b/>
          <w:sz w:val="24"/>
          <w:szCs w:val="24"/>
        </w:rP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in Rechnung stellen, </w:t>
      </w:r>
      <w:r>
        <w:rPr>
          <w:rFonts w:cs="Arial"/>
          <w:sz w:val="24"/>
          <w:szCs w:val="24"/>
        </w:rPr>
        <w:t>erheben wir</w:t>
      </w:r>
      <w:r w:rsidR="00021ED5">
        <w:rPr>
          <w:rFonts w:cs="Arial"/>
          <w:sz w:val="24"/>
          <w:szCs w:val="24"/>
        </w:rPr>
        <w:t xml:space="preserve"> eine Transportkostenpauschale (ausschließlich </w:t>
      </w:r>
      <w:r w:rsidR="00021ED5">
        <w:rPr>
          <w:rFonts w:cs="Arial"/>
          <w:sz w:val="24"/>
          <w:szCs w:val="24"/>
        </w:rPr>
        <w:lastRenderedPageBreak/>
        <w:t xml:space="preserve">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71B0BD50"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Paragraf 288 Absatz 2 BGB in Höhe von acht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2C7D73">
        <w:rPr>
          <w:rFonts w:cs="Arial"/>
          <w:sz w:val="24"/>
          <w:szCs w:val="24"/>
        </w:rPr>
        <w:t>Paragraf</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D37D47">
      <w:pPr>
        <w:pStyle w:val="Listenabsatz"/>
        <w:numPr>
          <w:ilvl w:val="0"/>
          <w:numId w:val="11"/>
        </w:numPr>
        <w:ind w:left="360"/>
        <w:rPr>
          <w:rFonts w:cs="Arial"/>
          <w:b/>
          <w:bCs/>
          <w:sz w:val="24"/>
          <w:szCs w:val="24"/>
        </w:rPr>
      </w:pPr>
      <w:r w:rsidRPr="007C579D">
        <w:rPr>
          <w:rFonts w:cs="Arial"/>
          <w:b/>
          <w:bCs/>
          <w:sz w:val="24"/>
          <w:szCs w:val="24"/>
        </w:rPr>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r w:rsidR="00BF6C18">
        <w:rPr>
          <w:rFonts w:cs="Arial"/>
          <w:sz w:val="24"/>
          <w:szCs w:val="24"/>
        </w:rPr>
        <w:t xml:space="preserve">ist </w:t>
      </w:r>
      <w:r w:rsidR="007C579D" w:rsidRPr="007C579D">
        <w:rPr>
          <w:rFonts w:cs="Arial"/>
          <w:sz w:val="24"/>
          <w:szCs w:val="24"/>
        </w:rPr>
        <w:t xml:space="preserve"> beispielsweise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Käufers </w:t>
      </w:r>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xml:space="preserve">. Die Schadenspauschale beträgt für jede vollendete Kalenderwoche des Verzugs 0,5% des Nettopreises (Lieferwert), insgesamt jedoch höchstens 5% des </w:t>
      </w:r>
      <w:proofErr w:type="gramStart"/>
      <w:r w:rsidR="00C45825" w:rsidRPr="00C45825">
        <w:rPr>
          <w:rFonts w:cs="Arial"/>
          <w:sz w:val="24"/>
          <w:szCs w:val="24"/>
        </w:rPr>
        <w:t>Lieferwerts</w:t>
      </w:r>
      <w:proofErr w:type="gramEnd"/>
      <w:r w:rsidR="00C45825" w:rsidRPr="00C45825">
        <w:rPr>
          <w:rFonts w:cs="Arial"/>
          <w:sz w:val="24"/>
          <w:szCs w:val="24"/>
        </w:rPr>
        <w:t xml:space="preserve">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Liefer</w:t>
      </w:r>
      <w:r w:rsidR="007C579D">
        <w:rPr>
          <w:rFonts w:cs="Arial"/>
          <w:b/>
          <w:sz w:val="24"/>
          <w:szCs w:val="24"/>
        </w:rPr>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 xml:space="preserve">Für den Fall der vertraglichen Vereinbarung einer Abnahme der Ware ist diese für den Gefahrübergang maßgeblich. Weitergehende gesetzliche Vorschriften des </w:t>
      </w:r>
      <w:r>
        <w:rPr>
          <w:rFonts w:cs="Arial"/>
          <w:sz w:val="24"/>
          <w:szCs w:val="24"/>
        </w:rPr>
        <w:lastRenderedPageBreak/>
        <w:t>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 H.  v. [  ] EUR pro Kalendertag (Beginn mit der Lieferfrist bzw. sofern keine Lieferfrist bestimmt ist,  mit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D37D47">
      <w:pPr>
        <w:pStyle w:val="Listenabsatz"/>
        <w:numPr>
          <w:ilvl w:val="0"/>
          <w:numId w:val="11"/>
        </w:numPr>
        <w:ind w:left="360"/>
        <w:rPr>
          <w:rFonts w:cs="Arial"/>
          <w:sz w:val="24"/>
          <w:szCs w:val="24"/>
        </w:rPr>
      </w:pPr>
      <w:r w:rsidRPr="00CF7AEB">
        <w:rPr>
          <w:rFonts w:cs="Arial"/>
          <w:b/>
          <w:sz w:val="24"/>
          <w:szCs w:val="24"/>
        </w:rPr>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7DD924B0"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 xml:space="preserve">weder an Dritte </w:t>
      </w:r>
      <w:proofErr w:type="gramStart"/>
      <w:r w:rsidRPr="00406633">
        <w:rPr>
          <w:rFonts w:cs="Arial"/>
          <w:sz w:val="24"/>
          <w:szCs w:val="24"/>
        </w:rPr>
        <w:t>verpfändet</w:t>
      </w:r>
      <w:r>
        <w:rPr>
          <w:rFonts w:cs="Arial"/>
          <w:sz w:val="24"/>
          <w:szCs w:val="24"/>
        </w:rPr>
        <w:t>,</w:t>
      </w:r>
      <w:proofErr w:type="gramEnd"/>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 xml:space="preserve">ein Antrag auf Eröffnung eines Insolvenzverfahrens gestellt oder </w:t>
      </w:r>
      <w:proofErr w:type="gramStart"/>
      <w:r w:rsidRPr="00406633">
        <w:rPr>
          <w:rFonts w:cs="Arial"/>
          <w:sz w:val="24"/>
          <w:szCs w:val="24"/>
        </w:rPr>
        <w:t>soweit</w:t>
      </w:r>
      <w:proofErr w:type="gramEnd"/>
      <w:r w:rsidRPr="00406633">
        <w:rPr>
          <w:rFonts w:cs="Arial"/>
          <w:sz w:val="24"/>
          <w:szCs w:val="24"/>
        </w:rPr>
        <w:t xml:space="preserve">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1126D9">
        <w:rPr>
          <w:rFonts w:cs="Arial"/>
          <w:sz w:val="24"/>
          <w:szCs w:val="24"/>
        </w:rPr>
        <w:t>Paragraf</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 xml:space="preserve">Für den Fall </w:t>
      </w:r>
      <w:proofErr w:type="gramStart"/>
      <w:r>
        <w:rPr>
          <w:rFonts w:cs="Arial"/>
          <w:sz w:val="24"/>
          <w:szCs w:val="24"/>
        </w:rPr>
        <w:t>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w:t>
      </w:r>
      <w:proofErr w:type="gramEnd"/>
      <w:r w:rsidR="00406633" w:rsidRPr="00406633">
        <w:rPr>
          <w:rFonts w:cs="Arial"/>
          <w:sz w:val="24"/>
          <w:szCs w:val="24"/>
        </w:rPr>
        <w:t xml:space="preserve"> des Käufers, insbesondere bei Nichtzahlung des fälligen Kaufpreises, sind wir berechtigt, nach den gesetzlichen Vorschriften vom Vertrag zurückzutreten oder/und die Ware auf Grund des Eigentumsvorbehalts 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 xml:space="preserve">verlangen. </w:t>
      </w:r>
      <w:r>
        <w:rPr>
          <w:rFonts w:cs="Arial"/>
          <w:sz w:val="24"/>
          <w:szCs w:val="24"/>
        </w:rPr>
        <w:t xml:space="preserve">Im Herausgabeverlangen ist nicht zugleich eine Rücktrittserklärung enthalten; vielmehr sind wir berechtigt, </w:t>
      </w:r>
      <w:r w:rsidRPr="00406633">
        <w:rPr>
          <w:rFonts w:cs="Arial"/>
          <w:sz w:val="24"/>
          <w:szCs w:val="24"/>
        </w:rPr>
        <w:t xml:space="preserve">lediglich die Ware </w:t>
      </w:r>
      <w:proofErr w:type="gramStart"/>
      <w:r w:rsidRPr="00406633">
        <w:rPr>
          <w:rFonts w:cs="Arial"/>
          <w:sz w:val="24"/>
          <w:szCs w:val="24"/>
        </w:rPr>
        <w:t>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w:t>
      </w:r>
      <w:proofErr w:type="gramEnd"/>
      <w:r w:rsidRPr="00406633">
        <w:rPr>
          <w:rFonts w:cs="Arial"/>
          <w:sz w:val="24"/>
          <w:szCs w:val="24"/>
        </w:rPr>
        <w:t xml:space="preserve">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lastRenderedPageBreak/>
        <w:t>Der Käufer ist bis auf Widerruf gem</w:t>
      </w:r>
      <w:r w:rsidR="00DB4026">
        <w:rPr>
          <w:rFonts w:cs="Arial"/>
          <w:sz w:val="24"/>
          <w:szCs w:val="24"/>
        </w:rPr>
        <w:t xml:space="preserve">äß VII. 4. </w:t>
      </w:r>
      <w:proofErr w:type="spellStart"/>
      <w:r w:rsidR="00DB4026">
        <w:rPr>
          <w:rFonts w:cs="Arial"/>
          <w:sz w:val="24"/>
          <w:szCs w:val="24"/>
        </w:rPr>
        <w:t>Lit</w:t>
      </w:r>
      <w:proofErr w:type="spellEnd"/>
      <w:r w:rsidR="00DB4026">
        <w:rPr>
          <w:rFonts w:cs="Arial"/>
          <w:sz w:val="24"/>
          <w:szCs w:val="24"/>
        </w:rPr>
        <w:t xml:space="preserve">. </w:t>
      </w:r>
      <w:r w:rsidRPr="00406633">
        <w:rPr>
          <w:rFonts w:cs="Arial"/>
          <w:sz w:val="24"/>
          <w:szCs w:val="24"/>
        </w:rPr>
        <w:t xml:space="preserve">c befugt, die unter Eigentumsvorbehalt stehenden Waren im ordnungsgemäßen Geschäftsgang weiter 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 xml:space="preserve">VII. 4. </w:t>
      </w:r>
      <w:proofErr w:type="spellStart"/>
      <w:r>
        <w:rPr>
          <w:rFonts w:cs="Arial"/>
          <w:sz w:val="24"/>
          <w:szCs w:val="24"/>
        </w:rPr>
        <w:t>Lit</w:t>
      </w:r>
      <w:proofErr w:type="spellEnd"/>
      <w:r>
        <w:rPr>
          <w:rFonts w:cs="Arial"/>
          <w:sz w:val="24"/>
          <w:szCs w:val="24"/>
        </w:rPr>
        <w: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124CE0D1" w14:textId="07E83382" w:rsidR="00181BE8" w:rsidRPr="000051CE" w:rsidRDefault="004773A7" w:rsidP="007D58AC">
      <w:pPr>
        <w:numPr>
          <w:ilvl w:val="0"/>
          <w:numId w:val="7"/>
        </w:numPr>
        <w:ind w:left="283" w:hanging="426"/>
        <w:jc w:val="both"/>
        <w:rPr>
          <w:rFonts w:cs="Arial"/>
          <w:sz w:val="24"/>
          <w:szCs w:val="24"/>
        </w:rPr>
      </w:pPr>
      <w:r w:rsidRPr="004773A7">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Pr>
          <w:rFonts w:cs="Arial"/>
          <w:sz w:val="24"/>
          <w:szCs w:val="24"/>
        </w:rPr>
        <w:t>.</w:t>
      </w:r>
    </w:p>
    <w:p w14:paraId="2A5974B0" w14:textId="5C3AFF97" w:rsidR="00181BE8" w:rsidRPr="00406633" w:rsidRDefault="007D58AC" w:rsidP="00D37D47">
      <w:pPr>
        <w:pStyle w:val="Listenabsatz"/>
        <w:numPr>
          <w:ilvl w:val="0"/>
          <w:numId w:val="21"/>
        </w:numPr>
        <w:ind w:left="390"/>
        <w:rPr>
          <w:rFonts w:cs="Arial"/>
          <w:sz w:val="24"/>
          <w:szCs w:val="24"/>
        </w:rPr>
      </w:pPr>
      <w:r>
        <w:rPr>
          <w:rFonts w:cs="Arial"/>
          <w:b/>
          <w:sz w:val="24"/>
          <w:szCs w:val="24"/>
        </w:rP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4D4248FB"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DA163A">
        <w:rPr>
          <w:rFonts w:cs="Arial"/>
          <w:sz w:val="24"/>
          <w:szCs w:val="24"/>
        </w:rPr>
        <w:t xml:space="preserve">Paragrafen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77034933"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Paragraf</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63276ED" w:rsidR="00C8750E" w:rsidRDefault="00C8750E" w:rsidP="007D58AC">
      <w:pPr>
        <w:numPr>
          <w:ilvl w:val="0"/>
          <w:numId w:val="8"/>
        </w:numPr>
        <w:ind w:left="283" w:hanging="426"/>
        <w:jc w:val="both"/>
        <w:rPr>
          <w:rFonts w:cs="Arial"/>
          <w:sz w:val="24"/>
          <w:szCs w:val="24"/>
        </w:rPr>
      </w:pPr>
      <w:r>
        <w:rPr>
          <w:rFonts w:cs="Arial"/>
          <w:sz w:val="24"/>
          <w:szCs w:val="24"/>
        </w:rPr>
        <w:t>Für Mängel, die der Käufer gemäß Paragraf</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02162530"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Pr>
          <w:rFonts w:cs="Arial"/>
          <w:sz w:val="24"/>
          <w:szCs w:val="24"/>
        </w:rPr>
        <w:t>Paragrafen</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r w:rsidR="00276CD2">
        <w:rPr>
          <w:rFonts w:cs="Arial"/>
          <w:sz w:val="24"/>
          <w:szCs w:val="24"/>
        </w:rPr>
        <w:t>[  ]</w:t>
      </w:r>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w:t>
      </w:r>
      <w:r w:rsidR="00276CD2">
        <w:rPr>
          <w:rFonts w:cs="Arial"/>
          <w:sz w:val="24"/>
          <w:szCs w:val="24"/>
        </w:rPr>
        <w:lastRenderedPageBreak/>
        <w:t xml:space="preserve">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0AB5293B" w:rsidR="009B5BA4" w:rsidRDefault="007D58AC" w:rsidP="003D1482">
      <w:pPr>
        <w:numPr>
          <w:ilvl w:val="0"/>
          <w:numId w:val="8"/>
        </w:numPr>
        <w:ind w:left="283" w:hanging="426"/>
        <w:jc w:val="both"/>
        <w:rPr>
          <w:rFonts w:cs="Arial"/>
          <w:sz w:val="24"/>
          <w:szCs w:val="24"/>
        </w:rPr>
      </w:pPr>
      <w:r w:rsidRPr="007D58AC">
        <w:rPr>
          <w:rFonts w:cs="Arial"/>
          <w:sz w:val="24"/>
          <w:szCs w:val="24"/>
        </w:rPr>
        <w:lastRenderedPageBreak/>
        <w:t>Ansprüche des Käufers auf Aufwendungsersatz gem</w:t>
      </w:r>
      <w:r w:rsidR="003D1482">
        <w:rPr>
          <w:rFonts w:cs="Arial"/>
          <w:sz w:val="24"/>
          <w:szCs w:val="24"/>
        </w:rPr>
        <w:t>äß Paragraf</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3D1482">
        <w:rPr>
          <w:rFonts w:cs="Arial"/>
          <w:sz w:val="24"/>
          <w:szCs w:val="24"/>
        </w:rPr>
        <w:t>Paragrafen</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Verbrauchervertrag über die Bereitstellung digitaler Produkte (</w:t>
      </w:r>
      <w:r w:rsidR="003D1482">
        <w:rPr>
          <w:rFonts w:cs="Arial"/>
          <w:sz w:val="24"/>
          <w:szCs w:val="24"/>
        </w:rPr>
        <w:t>Paragrafen</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C93DB32"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Pr>
          <w:rFonts w:cs="Arial"/>
          <w:sz w:val="24"/>
          <w:szCs w:val="24"/>
        </w:rPr>
        <w:t>Paragraf</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D37D47">
      <w:pPr>
        <w:pStyle w:val="Listenabsatz"/>
        <w:numPr>
          <w:ilvl w:val="0"/>
          <w:numId w:val="23"/>
        </w:numPr>
        <w:ind w:left="360"/>
        <w:jc w:val="both"/>
        <w:rPr>
          <w:rFonts w:cs="Arial"/>
          <w:b/>
          <w:bCs/>
          <w:iCs/>
          <w:sz w:val="24"/>
          <w:szCs w:val="24"/>
        </w:rPr>
      </w:pPr>
      <w:r w:rsidRPr="00E96A0D">
        <w:rPr>
          <w:rFonts w:cs="Arial"/>
          <w:b/>
          <w:bCs/>
          <w:iCs/>
          <w:sz w:val="24"/>
          <w:szCs w:val="24"/>
        </w:rPr>
        <w:t>Verjährung</w:t>
      </w:r>
    </w:p>
    <w:p w14:paraId="1CFA1D75" w14:textId="77777777" w:rsidR="00E96A0D" w:rsidRPr="00E96A0D" w:rsidRDefault="00E96A0D" w:rsidP="00E96A0D">
      <w:pPr>
        <w:jc w:val="both"/>
        <w:rPr>
          <w:rFonts w:cs="Arial"/>
          <w:b/>
          <w:bCs/>
          <w:iCs/>
          <w:sz w:val="24"/>
          <w:szCs w:val="24"/>
        </w:rPr>
      </w:pPr>
    </w:p>
    <w:p w14:paraId="307E8CBF" w14:textId="4E96AAB2"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Pr="00E96A0D">
        <w:rPr>
          <w:rFonts w:cs="Arial"/>
          <w:iCs/>
          <w:sz w:val="24"/>
          <w:szCs w:val="24"/>
        </w:rPr>
        <w:t>Paragraf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7E4159BD"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(Paragrafen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Pr="00E96A0D">
        <w:rPr>
          <w:rFonts w:cs="Arial"/>
          <w:iCs/>
          <w:sz w:val="24"/>
          <w:szCs w:val="24"/>
        </w:rPr>
        <w:t>Paragraf 438 Absatz 1 Nr. 1, Absatz 3, Paragrafen 444, 445b BGB).</w:t>
      </w:r>
    </w:p>
    <w:p w14:paraId="630DA8E0" w14:textId="77777777" w:rsidR="00E96A0D" w:rsidRPr="00E96A0D" w:rsidRDefault="00E96A0D" w:rsidP="00E96A0D">
      <w:pPr>
        <w:jc w:val="both"/>
        <w:rPr>
          <w:rFonts w:cs="Arial"/>
          <w:iCs/>
          <w:sz w:val="24"/>
          <w:szCs w:val="24"/>
        </w:rPr>
      </w:pPr>
    </w:p>
    <w:p w14:paraId="6038B3DC" w14:textId="3B1B7002"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Pr="00E96A0D">
        <w:rPr>
          <w:rFonts w:cs="Arial"/>
          <w:iCs/>
          <w:sz w:val="24"/>
          <w:szCs w:val="24"/>
        </w:rPr>
        <w:t>Paragrafen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w:t>
      </w:r>
      <w:proofErr w:type="spellStart"/>
      <w:r w:rsidR="007A7795">
        <w:rPr>
          <w:rFonts w:cs="Arial"/>
          <w:iCs/>
          <w:sz w:val="24"/>
          <w:szCs w:val="24"/>
        </w:rPr>
        <w:t>Lit</w:t>
      </w:r>
      <w:proofErr w:type="spellEnd"/>
      <w:r w:rsidR="007A7795">
        <w:rPr>
          <w:rFonts w:cs="Arial"/>
          <w:iCs/>
          <w:sz w:val="24"/>
          <w:szCs w:val="24"/>
        </w:rPr>
        <w:t xml:space="preserve">.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D37D47">
      <w:pPr>
        <w:pStyle w:val="Listenabsatz"/>
        <w:numPr>
          <w:ilvl w:val="0"/>
          <w:numId w:val="23"/>
        </w:numPr>
        <w:ind w:left="360"/>
        <w:jc w:val="both"/>
        <w:rPr>
          <w:rFonts w:cs="Arial"/>
          <w:i/>
          <w:sz w:val="24"/>
          <w:szCs w:val="24"/>
        </w:rPr>
      </w:pPr>
      <w:r>
        <w:rPr>
          <w:rFonts w:cs="Arial"/>
          <w:b/>
          <w:bCs/>
          <w:iCs/>
          <w:sz w:val="24"/>
          <w:szCs w:val="24"/>
        </w:rP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lastRenderedPageBreak/>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798D5223"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Pr>
          <w:rFonts w:cs="Arial"/>
          <w:iCs/>
          <w:sz w:val="24"/>
          <w:szCs w:val="24"/>
        </w:rPr>
        <w:t>Paragrafen</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D37D47">
      <w:pPr>
        <w:pStyle w:val="Listenabsatz"/>
        <w:numPr>
          <w:ilvl w:val="0"/>
          <w:numId w:val="23"/>
        </w:numPr>
        <w:ind w:left="360"/>
        <w:jc w:val="both"/>
        <w:rPr>
          <w:rFonts w:cs="Arial"/>
          <w:i/>
          <w:sz w:val="24"/>
          <w:szCs w:val="24"/>
        </w:rPr>
      </w:pPr>
      <w:r>
        <w:rPr>
          <w:rFonts w:cs="Arial"/>
          <w:b/>
          <w:sz w:val="24"/>
          <w:szCs w:val="24"/>
        </w:rP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77777777"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im Sinne von Paragraf</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Default="00181BE8" w:rsidP="00EB0723">
      <w:pPr>
        <w:pStyle w:val="berschrift1"/>
        <w:jc w:val="left"/>
        <w:rPr>
          <w:rFonts w:cs="Arial"/>
          <w:b w:val="0"/>
          <w:sz w:val="24"/>
          <w:szCs w:val="24"/>
        </w:rPr>
      </w:pPr>
      <w:r w:rsidRPr="00586EC0">
        <w:rPr>
          <w:rFonts w:cs="Arial"/>
          <w:b w:val="0"/>
          <w:sz w:val="24"/>
          <w:szCs w:val="24"/>
          <w:u w:val="single"/>
        </w:rPr>
        <w:lastRenderedPageBreak/>
        <w:t>Anhang 1</w:t>
      </w:r>
      <w:r w:rsidRPr="00586EC0">
        <w:rPr>
          <w:rFonts w:cs="Arial"/>
          <w:b w:val="0"/>
          <w:sz w:val="24"/>
          <w:szCs w:val="24"/>
        </w:rPr>
        <w:t xml:space="preserve">:  </w:t>
      </w:r>
    </w:p>
    <w:p w14:paraId="4A5CCA25" w14:textId="77777777" w:rsidR="00EB0723" w:rsidRPr="00EB0723" w:rsidRDefault="00EB0723" w:rsidP="00EB0723"/>
    <w:p w14:paraId="5CD68032" w14:textId="77777777" w:rsidR="00181BE8" w:rsidRPr="00586EC0" w:rsidRDefault="00181BE8" w:rsidP="00586EC0">
      <w:pPr>
        <w:pStyle w:val="berschrift1"/>
        <w:jc w:val="left"/>
        <w:rPr>
          <w:rFonts w:cs="Arial"/>
          <w:b w:val="0"/>
          <w:sz w:val="24"/>
          <w:szCs w:val="24"/>
        </w:rPr>
      </w:pPr>
      <w:r w:rsidRPr="00586EC0">
        <w:rPr>
          <w:rFonts w:cs="Arial"/>
          <w:sz w:val="24"/>
          <w:szCs w:val="24"/>
        </w:rPr>
        <w:t>Anmerkungen</w:t>
      </w:r>
    </w:p>
    <w:p w14:paraId="3D3D8D42" w14:textId="52F57A6D"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ausschließlich gegenüber Unternehmern </w:t>
      </w:r>
      <w:r w:rsidR="00AD3405">
        <w:rPr>
          <w:rFonts w:cs="Arial"/>
          <w:sz w:val="24"/>
          <w:szCs w:val="24"/>
        </w:rPr>
        <w:t>im Sinne von Paragraf 14 HGB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 nach Paragraf</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36D6C3C4" w:rsidR="00E40951" w:rsidRDefault="00E40951" w:rsidP="00EB0723">
      <w:pPr>
        <w:tabs>
          <w:tab w:val="left" w:pos="5104"/>
        </w:tabs>
        <w:jc w:val="both"/>
        <w:rPr>
          <w:rFonts w:cs="Arial"/>
          <w:sz w:val="24"/>
          <w:szCs w:val="24"/>
        </w:rPr>
      </w:pPr>
      <w:r>
        <w:rPr>
          <w:rFonts w:cs="Arial"/>
          <w:sz w:val="24"/>
          <w:szCs w:val="24"/>
        </w:rPr>
        <w:t xml:space="preserve">Sofern der Verwender der Allgemeinen Verkaufsbedingungen regelmäßig mit Unternehmern  und Verbrauchern vertraglich agiert, sollte darauf geachtet werden, dass entweder </w:t>
      </w:r>
      <w:r w:rsidRPr="00EB0723">
        <w:rPr>
          <w:rFonts w:cs="Arial"/>
          <w:sz w:val="24"/>
          <w:szCs w:val="24"/>
        </w:rPr>
        <w:t xml:space="preserve">getrennte Formulare eingesetzt </w:t>
      </w:r>
      <w:r>
        <w:rPr>
          <w:rFonts w:cs="Arial"/>
          <w:sz w:val="24"/>
          <w:szCs w:val="24"/>
        </w:rPr>
        <w:t xml:space="preserve">werden </w:t>
      </w:r>
      <w:r w:rsidRPr="00EB0723">
        <w:rPr>
          <w:rFonts w:cs="Arial"/>
          <w:sz w:val="24"/>
          <w:szCs w:val="24"/>
        </w:rPr>
        <w:t xml:space="preserve">oder gegenüber Verbrauchern auf die Verwendung von AGB </w:t>
      </w:r>
      <w:r>
        <w:rPr>
          <w:rFonts w:cs="Arial"/>
          <w:sz w:val="24"/>
          <w:szCs w:val="24"/>
        </w:rPr>
        <w:t>gänzlich</w:t>
      </w:r>
      <w:r w:rsidRPr="00EB0723">
        <w:rPr>
          <w:rFonts w:cs="Arial"/>
          <w:sz w:val="24"/>
          <w:szCs w:val="24"/>
        </w:rPr>
        <w:t xml:space="preserve"> verzichtet </w:t>
      </w:r>
      <w:r>
        <w:rPr>
          <w:rFonts w:cs="Arial"/>
          <w:sz w:val="24"/>
          <w:szCs w:val="24"/>
        </w:rPr>
        <w:t>wird</w:t>
      </w:r>
      <w:r w:rsidRPr="00EB0723">
        <w:rPr>
          <w:rFonts w:cs="Arial"/>
          <w:sz w:val="24"/>
          <w:szCs w:val="24"/>
        </w:rPr>
        <w:t>.</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4B50566D" w:rsidR="00E40951" w:rsidRDefault="00EB0723" w:rsidP="003C3667">
      <w:pPr>
        <w:jc w:val="both"/>
        <w:rPr>
          <w:rFonts w:cs="Arial"/>
          <w:sz w:val="24"/>
          <w:szCs w:val="24"/>
        </w:rPr>
      </w:pPr>
      <w:r w:rsidRPr="00EB0723">
        <w:rPr>
          <w:rFonts w:cs="Arial"/>
          <w:sz w:val="24"/>
          <w:szCs w:val="24"/>
        </w:rPr>
        <w:t xml:space="preserve">Die Klauselverbote der </w:t>
      </w:r>
      <w:r>
        <w:rPr>
          <w:rFonts w:cs="Arial"/>
          <w:sz w:val="24"/>
          <w:szCs w:val="24"/>
        </w:rPr>
        <w:t>Paragrafen</w:t>
      </w:r>
      <w:r w:rsidRPr="00EB0723">
        <w:rPr>
          <w:rFonts w:cs="Arial"/>
          <w:sz w:val="24"/>
          <w:szCs w:val="24"/>
        </w:rPr>
        <w:t xml:space="preserve"> 308 und 309 BGB finden im unternehmerischen Rechtsverkehr (B2B) mittelbar über die Generalklausel des </w:t>
      </w:r>
      <w:r>
        <w:rPr>
          <w:rFonts w:cs="Arial"/>
          <w:sz w:val="24"/>
          <w:szCs w:val="24"/>
        </w:rPr>
        <w:t>Paragraf</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1 und 2 BGB Anwendung (</w:t>
      </w:r>
      <w:r>
        <w:rPr>
          <w:rFonts w:cs="Arial"/>
          <w:sz w:val="24"/>
          <w:szCs w:val="24"/>
        </w:rPr>
        <w:t>Paragraf</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E40951">
        <w:rPr>
          <w:rFonts w:cs="Arial"/>
          <w:sz w:val="24"/>
          <w:szCs w:val="24"/>
        </w:rPr>
        <w:t>Paragrafen</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E40951">
        <w:rPr>
          <w:rFonts w:cs="Arial"/>
          <w:sz w:val="24"/>
          <w:szCs w:val="24"/>
        </w:rPr>
        <w:t>Paragraf</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586EC0">
      <w:pPr>
        <w:pStyle w:val="berschrift5"/>
        <w:rPr>
          <w:rFonts w:cs="Arial"/>
          <w:sz w:val="24"/>
          <w:szCs w:val="24"/>
        </w:rPr>
      </w:pPr>
      <w:r w:rsidRPr="00586EC0">
        <w:rPr>
          <w:rFonts w:cs="Arial"/>
          <w:sz w:val="24"/>
          <w:szCs w:val="24"/>
        </w:rPr>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jc w:val="left"/>
        <w:rPr>
          <w:rFonts w:cs="Arial"/>
          <w:sz w:val="24"/>
          <w:szCs w:val="24"/>
        </w:rPr>
      </w:pPr>
      <w:r w:rsidRPr="00586EC0">
        <w:rPr>
          <w:rFonts w:cs="Arial"/>
          <w:sz w:val="24"/>
          <w:szCs w:val="24"/>
        </w:rPr>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586EC0">
      <w:pPr>
        <w:pStyle w:val="berschrift1"/>
        <w:jc w:val="left"/>
        <w:rPr>
          <w:rFonts w:cs="Arial"/>
          <w:sz w:val="24"/>
          <w:szCs w:val="24"/>
        </w:rPr>
      </w:pPr>
      <w:r w:rsidRPr="00586EC0">
        <w:rPr>
          <w:rFonts w:cs="Arial"/>
          <w:sz w:val="24"/>
          <w:szCs w:val="24"/>
        </w:rPr>
        <w:t>Aufwendungsersatz bei Nacherfüllung</w:t>
      </w:r>
    </w:p>
    <w:p w14:paraId="0EEDD36D" w14:textId="669742F7" w:rsidR="00181BE8" w:rsidRDefault="00F32653" w:rsidP="00F57D0D">
      <w:pPr>
        <w:jc w:val="both"/>
        <w:rPr>
          <w:rFonts w:cs="Arial"/>
          <w:sz w:val="24"/>
          <w:szCs w:val="24"/>
        </w:rPr>
      </w:pPr>
      <w:r>
        <w:rPr>
          <w:rFonts w:cs="Arial"/>
          <w:sz w:val="24"/>
          <w:szCs w:val="24"/>
        </w:rPr>
        <w:t>D</w:t>
      </w:r>
      <w:r w:rsidR="007132E3">
        <w:rPr>
          <w:rFonts w:cs="Arial"/>
          <w:sz w:val="24"/>
          <w:szCs w:val="24"/>
        </w:rPr>
        <w:t>er Verkäufer hat gemäß Paragraf</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586EC0">
      <w:pPr>
        <w:rPr>
          <w:rFonts w:cs="Arial"/>
          <w:b/>
          <w:sz w:val="24"/>
          <w:szCs w:val="24"/>
        </w:rPr>
      </w:pPr>
      <w:r w:rsidRPr="008D4010">
        <w:rPr>
          <w:rFonts w:cs="Arial"/>
          <w:b/>
          <w:sz w:val="24"/>
          <w:szCs w:val="24"/>
        </w:rPr>
        <w:t>Mängelhaftung – Verkäufer muss Aus- und Einbaukosten übernehmen</w:t>
      </w:r>
    </w:p>
    <w:p w14:paraId="59961D49" w14:textId="53F0DADE"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zur Nacherfüllung gem. Paragraf</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7132E3">
        <w:rPr>
          <w:rFonts w:cs="Arial"/>
          <w:sz w:val="24"/>
          <w:szCs w:val="24"/>
        </w:rPr>
        <w:t>Paragraf</w:t>
      </w:r>
      <w:r w:rsidR="001B47C6">
        <w:rPr>
          <w:rFonts w:cs="Arial"/>
          <w:sz w:val="24"/>
          <w:szCs w:val="24"/>
        </w:rPr>
        <w:t xml:space="preserve"> 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F57D0D">
      <w:pPr>
        <w:jc w:val="both"/>
        <w:rPr>
          <w:rFonts w:cs="Arial"/>
          <w:b/>
          <w:bCs/>
          <w:sz w:val="24"/>
          <w:szCs w:val="24"/>
        </w:rPr>
      </w:pPr>
      <w:r w:rsidRPr="00F57D0D">
        <w:rPr>
          <w:rFonts w:cs="Arial"/>
          <w:b/>
          <w:bCs/>
          <w:sz w:val="24"/>
          <w:szCs w:val="24"/>
        </w:rPr>
        <w:t>Änderungen im Gewährleistungsrecht</w:t>
      </w:r>
    </w:p>
    <w:p w14:paraId="3DEFFDB2" w14:textId="1FA33D12"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Pr>
          <w:rFonts w:cs="Arial"/>
          <w:sz w:val="24"/>
          <w:szCs w:val="24"/>
        </w:rPr>
        <w:t>Paragraf</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w:t>
      </w:r>
      <w:r w:rsidRPr="00F57D0D">
        <w:rPr>
          <w:rFonts w:cs="Arial"/>
          <w:sz w:val="24"/>
          <w:szCs w:val="24"/>
        </w:rPr>
        <w:lastRenderedPageBreak/>
        <w:t>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insbesondere im Hinblick auf die Haftung für Ware mit digitalen Elementen in der Lieferkette sind berücksichtigt.      </w:t>
      </w:r>
    </w:p>
    <w:p w14:paraId="6EEE7094" w14:textId="77777777" w:rsidR="00784072" w:rsidRDefault="00784072" w:rsidP="00586EC0">
      <w:pPr>
        <w:pStyle w:val="berschrift1"/>
        <w:jc w:val="left"/>
        <w:rPr>
          <w:rFonts w:cs="Arial"/>
          <w:sz w:val="24"/>
          <w:szCs w:val="24"/>
        </w:rPr>
      </w:pPr>
    </w:p>
    <w:p w14:paraId="4C61CFA8" w14:textId="77777777" w:rsidR="00181BE8" w:rsidRPr="00586EC0" w:rsidRDefault="00181BE8" w:rsidP="00586EC0">
      <w:pPr>
        <w:pStyle w:val="berschrift1"/>
        <w:jc w:val="left"/>
        <w:rPr>
          <w:rFonts w:cs="Arial"/>
          <w:sz w:val="24"/>
          <w:szCs w:val="24"/>
        </w:rPr>
      </w:pPr>
      <w:r w:rsidRPr="00586EC0">
        <w:rPr>
          <w:rFonts w:cs="Arial"/>
          <w:sz w:val="24"/>
          <w:szCs w:val="24"/>
        </w:rPr>
        <w:t>Beschränkung auf Nacherfüllung</w:t>
      </w:r>
    </w:p>
    <w:p w14:paraId="5F683D77" w14:textId="7C4323F8"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854698">
        <w:rPr>
          <w:rFonts w:cs="Arial"/>
          <w:sz w:val="24"/>
          <w:szCs w:val="24"/>
        </w:rPr>
        <w:t>Paragraf</w:t>
      </w:r>
      <w:r w:rsidR="00F57D0D" w:rsidRPr="00F57D0D">
        <w:rPr>
          <w:rFonts w:cs="Arial"/>
          <w:sz w:val="24"/>
          <w:szCs w:val="24"/>
        </w:rPr>
        <w:t xml:space="preserve"> 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586EC0">
      <w:pPr>
        <w:pStyle w:val="berschrift1"/>
        <w:jc w:val="left"/>
        <w:rPr>
          <w:rFonts w:cs="Arial"/>
          <w:sz w:val="24"/>
          <w:szCs w:val="24"/>
        </w:rPr>
      </w:pPr>
      <w:r w:rsidRPr="00586EC0">
        <w:rPr>
          <w:rFonts w:cs="Arial"/>
          <w:sz w:val="24"/>
          <w:szCs w:val="24"/>
        </w:rPr>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586EC0">
      <w:pPr>
        <w:pStyle w:val="berschrift5"/>
        <w:rPr>
          <w:rFonts w:cs="Arial"/>
          <w:sz w:val="24"/>
          <w:szCs w:val="24"/>
        </w:rPr>
      </w:pPr>
      <w:r w:rsidRPr="00586EC0">
        <w:rPr>
          <w:rFonts w:cs="Arial"/>
          <w:sz w:val="24"/>
          <w:szCs w:val="24"/>
        </w:rPr>
        <w:t>Höhe der Verzugszinsen</w:t>
      </w:r>
    </w:p>
    <w:p w14:paraId="04C4E671" w14:textId="77777777" w:rsidR="00181BE8" w:rsidRPr="00586EC0" w:rsidRDefault="00181BE8" w:rsidP="003C3667">
      <w:pPr>
        <w:jc w:val="both"/>
        <w:rPr>
          <w:rFonts w:cs="Arial"/>
          <w:sz w:val="24"/>
          <w:szCs w:val="24"/>
        </w:rPr>
      </w:pPr>
      <w:r w:rsidRPr="00586EC0">
        <w:rPr>
          <w:rFonts w:cs="Arial"/>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8 % über dem Basiszinssatz erhöht.</w:t>
      </w:r>
    </w:p>
    <w:p w14:paraId="10C92A03" w14:textId="77777777" w:rsidR="00181BE8" w:rsidRDefault="00181BE8" w:rsidP="003C3667">
      <w:pPr>
        <w:jc w:val="both"/>
        <w:rPr>
          <w:rFonts w:cs="Arial"/>
          <w:sz w:val="24"/>
          <w:szCs w:val="24"/>
        </w:rPr>
      </w:pPr>
      <w:r w:rsidRPr="00586EC0">
        <w:rPr>
          <w:rFonts w:cs="Arial"/>
          <w:sz w:val="24"/>
          <w:szCs w:val="24"/>
        </w:rPr>
        <w:t xml:space="preserve">Unter </w:t>
      </w:r>
      <w:hyperlink r:id="rId11" w:history="1">
        <w:r w:rsidRPr="00586EC0">
          <w:rPr>
            <w:rStyle w:val="Hyperlink"/>
            <w:rFonts w:cs="Arial"/>
            <w:sz w:val="24"/>
            <w:szCs w:val="24"/>
          </w:rPr>
          <w:t>https://www.bundesbank.de/Redaktion/DE/Standardartikel/Bundesbank/Zinssaetze/basiszinssatz.html</w:t>
        </w:r>
      </w:hyperlink>
      <w:r w:rsidRPr="00586EC0">
        <w:rPr>
          <w:rFonts w:cs="Arial"/>
          <w:sz w:val="24"/>
          <w:szCs w:val="24"/>
        </w:rPr>
        <w:t xml:space="preserve"> können die aktuellen Basiszinssätze ermittelt werden.</w:t>
      </w:r>
    </w:p>
    <w:p w14:paraId="105D67F8" w14:textId="77777777" w:rsidR="006D32EB" w:rsidRPr="00586EC0" w:rsidRDefault="006D32EB" w:rsidP="00586EC0">
      <w:pPr>
        <w:rPr>
          <w:rFonts w:cs="Arial"/>
          <w:sz w:val="24"/>
          <w:szCs w:val="24"/>
        </w:rPr>
      </w:pPr>
    </w:p>
    <w:p w14:paraId="6A6A5561"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0C5A649A" w14:textId="77777777" w:rsidR="002B50CB" w:rsidRDefault="002B50CB" w:rsidP="002B50CB">
      <w:r>
        <w:rPr>
          <w:u w:val="single"/>
        </w:rPr>
        <w:lastRenderedPageBreak/>
        <w:t>Anhang</w:t>
      </w:r>
      <w:r>
        <w:t>:</w:t>
      </w:r>
    </w:p>
    <w:p w14:paraId="02D20CD0" w14:textId="77777777" w:rsidR="002B50CB" w:rsidRDefault="002B50CB" w:rsidP="002B50CB">
      <w:pPr>
        <w:jc w:val="center"/>
        <w:rPr>
          <w:b/>
        </w:rPr>
      </w:pPr>
      <w:r>
        <w:rPr>
          <w:b/>
        </w:rPr>
        <w:t>Hessische Industrie- und Handelskammern</w:t>
      </w:r>
    </w:p>
    <w:p w14:paraId="4F424920" w14:textId="77777777" w:rsidR="002B50CB" w:rsidRDefault="002B50CB" w:rsidP="002B50CB">
      <w:pPr>
        <w:jc w:val="center"/>
        <w:rPr>
          <w:b/>
        </w:rPr>
      </w:pPr>
    </w:p>
    <w:p w14:paraId="3CFC27FF" w14:textId="77777777" w:rsidR="002B50CB" w:rsidRDefault="002B50CB" w:rsidP="002B50CB">
      <w:pPr>
        <w:jc w:val="center"/>
        <w:rPr>
          <w:b/>
        </w:rPr>
      </w:pPr>
    </w:p>
    <w:p w14:paraId="00F52713" w14:textId="77777777" w:rsidR="00E840FD" w:rsidRPr="007A6EBE" w:rsidRDefault="00E840FD" w:rsidP="00E840FD">
      <w:pPr>
        <w:rPr>
          <w:sz w:val="20"/>
        </w:rPr>
      </w:pPr>
      <w:r w:rsidRPr="007A6EBE">
        <w:rPr>
          <w:sz w:val="20"/>
        </w:rPr>
        <w:t>Industrie- und Handelskammer</w:t>
      </w:r>
    </w:p>
    <w:p w14:paraId="57E8BDBF" w14:textId="77777777" w:rsidR="00E840FD" w:rsidRPr="007A6EBE" w:rsidRDefault="00E840FD" w:rsidP="00E840FD">
      <w:pPr>
        <w:rPr>
          <w:b/>
          <w:sz w:val="20"/>
        </w:rPr>
      </w:pPr>
      <w:r w:rsidRPr="007A6EBE">
        <w:rPr>
          <w:b/>
          <w:sz w:val="20"/>
        </w:rPr>
        <w:t>Darmstadt</w:t>
      </w:r>
    </w:p>
    <w:p w14:paraId="16C42AEC" w14:textId="77777777" w:rsidR="00E840FD" w:rsidRPr="007A6EBE" w:rsidRDefault="00E840FD" w:rsidP="00E840FD">
      <w:pPr>
        <w:rPr>
          <w:sz w:val="20"/>
        </w:rPr>
      </w:pPr>
      <w:r w:rsidRPr="007A6EBE">
        <w:rPr>
          <w:sz w:val="20"/>
        </w:rPr>
        <w:t>Rheinstraße 89</w:t>
      </w:r>
    </w:p>
    <w:p w14:paraId="7EAF5933" w14:textId="77777777" w:rsidR="00E840FD" w:rsidRPr="007A6EBE" w:rsidRDefault="00E840FD" w:rsidP="00E840FD">
      <w:pPr>
        <w:rPr>
          <w:sz w:val="20"/>
        </w:rPr>
      </w:pPr>
      <w:r w:rsidRPr="007A6EBE">
        <w:rPr>
          <w:sz w:val="20"/>
        </w:rPr>
        <w:t>64295 Darmstadt</w:t>
      </w:r>
    </w:p>
    <w:p w14:paraId="27FE05F2" w14:textId="77777777" w:rsidR="00E840FD" w:rsidRPr="007A6EBE" w:rsidRDefault="00E840FD" w:rsidP="00E840FD">
      <w:pPr>
        <w:rPr>
          <w:sz w:val="20"/>
        </w:rPr>
      </w:pPr>
      <w:r w:rsidRPr="007A6EBE">
        <w:rPr>
          <w:sz w:val="20"/>
        </w:rPr>
        <w:t>Telefon:</w:t>
      </w:r>
      <w:r w:rsidRPr="007A6EBE">
        <w:rPr>
          <w:sz w:val="20"/>
        </w:rPr>
        <w:tab/>
        <w:t>0 61 51 / 8 71 - 0</w:t>
      </w:r>
    </w:p>
    <w:p w14:paraId="5736D7AD" w14:textId="77777777" w:rsidR="00E840FD" w:rsidRPr="007A6EBE" w:rsidRDefault="00E840FD" w:rsidP="00E840FD">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6DFCDB9D"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8821916" w14:textId="77777777" w:rsidR="00E840FD" w:rsidRDefault="00E840FD" w:rsidP="00E840FD">
      <w:pPr>
        <w:rPr>
          <w:rStyle w:val="Hyperlink"/>
          <w:sz w:val="20"/>
        </w:rPr>
      </w:pPr>
    </w:p>
    <w:p w14:paraId="52092EFE" w14:textId="77777777" w:rsidR="00E840FD" w:rsidRDefault="00E840FD" w:rsidP="00E840FD">
      <w:pPr>
        <w:rPr>
          <w:rStyle w:val="Hyperlink"/>
          <w:sz w:val="20"/>
        </w:rPr>
      </w:pPr>
    </w:p>
    <w:p w14:paraId="455CA37C" w14:textId="77777777" w:rsidR="00E840FD" w:rsidRPr="007A6EBE" w:rsidRDefault="00E840FD" w:rsidP="00E840FD">
      <w:pPr>
        <w:rPr>
          <w:sz w:val="20"/>
        </w:rPr>
      </w:pPr>
      <w:r w:rsidRPr="007A6EBE">
        <w:rPr>
          <w:sz w:val="20"/>
        </w:rPr>
        <w:t>Industrie- und Handelskammer</w:t>
      </w:r>
    </w:p>
    <w:p w14:paraId="0DF8A464" w14:textId="77777777" w:rsidR="00E840FD" w:rsidRPr="007A6EBE" w:rsidRDefault="00E840FD" w:rsidP="00E840FD">
      <w:pPr>
        <w:rPr>
          <w:b/>
          <w:sz w:val="20"/>
        </w:rPr>
      </w:pPr>
      <w:r w:rsidRPr="007A6EBE">
        <w:rPr>
          <w:b/>
          <w:sz w:val="20"/>
        </w:rPr>
        <w:t>Frankfurt am Main</w:t>
      </w:r>
    </w:p>
    <w:p w14:paraId="16C749BA" w14:textId="77777777" w:rsidR="00E840FD" w:rsidRPr="007A6EBE" w:rsidRDefault="00E840FD" w:rsidP="00E840FD">
      <w:pPr>
        <w:rPr>
          <w:sz w:val="20"/>
        </w:rPr>
      </w:pPr>
      <w:r w:rsidRPr="007A6EBE">
        <w:rPr>
          <w:sz w:val="20"/>
        </w:rPr>
        <w:t>Börsenplatz 4</w:t>
      </w:r>
    </w:p>
    <w:p w14:paraId="76641D4A" w14:textId="77777777" w:rsidR="00E840FD" w:rsidRPr="007A6EBE" w:rsidRDefault="00E840FD" w:rsidP="00E840FD">
      <w:pPr>
        <w:rPr>
          <w:sz w:val="20"/>
        </w:rPr>
      </w:pPr>
      <w:r w:rsidRPr="007A6EBE">
        <w:rPr>
          <w:sz w:val="20"/>
        </w:rPr>
        <w:t>60313 Frankfurt</w:t>
      </w:r>
    </w:p>
    <w:p w14:paraId="79C48CFA" w14:textId="77777777" w:rsidR="00E840FD" w:rsidRPr="007A6EBE" w:rsidRDefault="00E840FD" w:rsidP="00E840FD">
      <w:pPr>
        <w:rPr>
          <w:sz w:val="20"/>
        </w:rPr>
      </w:pPr>
      <w:r w:rsidRPr="007A6EBE">
        <w:rPr>
          <w:sz w:val="20"/>
        </w:rPr>
        <w:t>Telefon:</w:t>
      </w:r>
      <w:r w:rsidRPr="007A6EBE">
        <w:rPr>
          <w:sz w:val="20"/>
        </w:rPr>
        <w:tab/>
        <w:t>0 69 / 21 97 - 0</w:t>
      </w:r>
    </w:p>
    <w:p w14:paraId="04613EA5" w14:textId="77777777" w:rsidR="00E840FD" w:rsidRPr="007A6EBE" w:rsidRDefault="00E840FD" w:rsidP="00E840FD">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21AD021B" w14:textId="77777777" w:rsidR="00E840FD" w:rsidRDefault="00E840FD" w:rsidP="00E840FD">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5368833" w14:textId="77777777" w:rsidR="00E840FD" w:rsidRDefault="00E840FD" w:rsidP="00E840FD">
      <w:pPr>
        <w:rPr>
          <w:rStyle w:val="Hyperlink"/>
          <w:sz w:val="20"/>
        </w:rPr>
      </w:pPr>
    </w:p>
    <w:p w14:paraId="1813BD75" w14:textId="77777777" w:rsidR="00E840FD" w:rsidRDefault="00E840FD" w:rsidP="00E840FD">
      <w:pPr>
        <w:rPr>
          <w:rStyle w:val="Hyperlink"/>
          <w:sz w:val="20"/>
        </w:rPr>
      </w:pPr>
    </w:p>
    <w:p w14:paraId="4857FC6F" w14:textId="77777777" w:rsidR="00E840FD" w:rsidRPr="007A6EBE" w:rsidRDefault="00E840FD" w:rsidP="00E840FD">
      <w:pPr>
        <w:rPr>
          <w:sz w:val="20"/>
        </w:rPr>
      </w:pPr>
      <w:r w:rsidRPr="007A6EBE">
        <w:rPr>
          <w:sz w:val="20"/>
        </w:rPr>
        <w:t>Industrie- und Handelskammer</w:t>
      </w:r>
    </w:p>
    <w:p w14:paraId="727BFA60" w14:textId="77777777" w:rsidR="00E840FD" w:rsidRPr="007A6EBE" w:rsidRDefault="00E840FD" w:rsidP="00E840FD">
      <w:pPr>
        <w:rPr>
          <w:b/>
          <w:sz w:val="20"/>
        </w:rPr>
      </w:pPr>
      <w:r w:rsidRPr="007A6EBE">
        <w:rPr>
          <w:b/>
          <w:sz w:val="20"/>
        </w:rPr>
        <w:t>Gießen-Friedberg</w:t>
      </w:r>
    </w:p>
    <w:p w14:paraId="19411CBA" w14:textId="77777777" w:rsidR="00E840FD" w:rsidRPr="007A6EBE" w:rsidRDefault="00E840FD" w:rsidP="00E840FD">
      <w:pPr>
        <w:rPr>
          <w:sz w:val="20"/>
        </w:rPr>
      </w:pPr>
      <w:proofErr w:type="spellStart"/>
      <w:r w:rsidRPr="007A6EBE">
        <w:rPr>
          <w:sz w:val="20"/>
        </w:rPr>
        <w:t>Lonystraße</w:t>
      </w:r>
      <w:proofErr w:type="spellEnd"/>
      <w:r w:rsidRPr="007A6EBE">
        <w:rPr>
          <w:sz w:val="20"/>
        </w:rPr>
        <w:t xml:space="preserve"> 7</w:t>
      </w:r>
    </w:p>
    <w:p w14:paraId="71F7DC1E" w14:textId="77777777" w:rsidR="00E840FD" w:rsidRPr="007A6EBE" w:rsidRDefault="00E840FD" w:rsidP="00E840FD">
      <w:pPr>
        <w:rPr>
          <w:sz w:val="20"/>
        </w:rPr>
      </w:pPr>
      <w:r w:rsidRPr="007A6EBE">
        <w:rPr>
          <w:sz w:val="20"/>
        </w:rPr>
        <w:t xml:space="preserve">35390 </w:t>
      </w:r>
      <w:r w:rsidRPr="007A6EBE">
        <w:rPr>
          <w:b/>
          <w:sz w:val="20"/>
        </w:rPr>
        <w:t>Gießen</w:t>
      </w:r>
    </w:p>
    <w:p w14:paraId="4CC44EDA" w14:textId="77777777" w:rsidR="00E840FD" w:rsidRPr="007A6EBE" w:rsidRDefault="00E840FD" w:rsidP="00E840FD">
      <w:pPr>
        <w:rPr>
          <w:sz w:val="20"/>
        </w:rPr>
      </w:pPr>
      <w:r w:rsidRPr="007A6EBE">
        <w:rPr>
          <w:sz w:val="20"/>
        </w:rPr>
        <w:t>Telefon:</w:t>
      </w:r>
      <w:r w:rsidRPr="007A6EBE">
        <w:rPr>
          <w:sz w:val="20"/>
        </w:rPr>
        <w:tab/>
        <w:t>06 41 / 79</w:t>
      </w:r>
      <w:r>
        <w:rPr>
          <w:sz w:val="20"/>
        </w:rPr>
        <w:t xml:space="preserve"> </w:t>
      </w:r>
      <w:r w:rsidRPr="007A6EBE">
        <w:rPr>
          <w:sz w:val="20"/>
        </w:rPr>
        <w:t>54 - 0</w:t>
      </w:r>
    </w:p>
    <w:p w14:paraId="2211E706" w14:textId="77777777" w:rsidR="00E840FD" w:rsidRPr="007A6EBE" w:rsidRDefault="00E840FD" w:rsidP="00E840FD">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23D8A540" w14:textId="77777777" w:rsidR="00E840FD" w:rsidRPr="007A6EBE" w:rsidRDefault="00E840FD" w:rsidP="00E840FD">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49485A72" w14:textId="77777777" w:rsidR="00E840FD" w:rsidRDefault="00E840FD" w:rsidP="00E840FD">
      <w:pPr>
        <w:rPr>
          <w:sz w:val="20"/>
        </w:rPr>
      </w:pPr>
    </w:p>
    <w:p w14:paraId="77C2AB37" w14:textId="77777777" w:rsidR="00E840FD" w:rsidRDefault="00E840FD" w:rsidP="00E840FD">
      <w:pPr>
        <w:rPr>
          <w:sz w:val="20"/>
        </w:rPr>
      </w:pPr>
    </w:p>
    <w:p w14:paraId="022F5B17" w14:textId="77777777" w:rsidR="00E840FD" w:rsidRPr="007A6EBE" w:rsidRDefault="00E840FD" w:rsidP="00E840FD">
      <w:pPr>
        <w:rPr>
          <w:sz w:val="20"/>
        </w:rPr>
      </w:pPr>
      <w:r w:rsidRPr="007A6EBE">
        <w:rPr>
          <w:sz w:val="20"/>
        </w:rPr>
        <w:t>Industrie- und Handelskammer</w:t>
      </w:r>
    </w:p>
    <w:p w14:paraId="6DC62971" w14:textId="77777777" w:rsidR="00E840FD" w:rsidRPr="007A6EBE" w:rsidRDefault="00E840FD" w:rsidP="00E840FD">
      <w:pPr>
        <w:rPr>
          <w:b/>
          <w:sz w:val="20"/>
        </w:rPr>
      </w:pPr>
      <w:r w:rsidRPr="007A6EBE">
        <w:rPr>
          <w:b/>
          <w:sz w:val="20"/>
        </w:rPr>
        <w:t>Gießen-Friedberg</w:t>
      </w:r>
    </w:p>
    <w:p w14:paraId="6630B4B5" w14:textId="77777777" w:rsidR="00E840FD" w:rsidRPr="007A6EBE" w:rsidRDefault="00E840FD" w:rsidP="00E840FD">
      <w:pPr>
        <w:rPr>
          <w:sz w:val="20"/>
        </w:rPr>
      </w:pPr>
      <w:r w:rsidRPr="007A6EBE">
        <w:rPr>
          <w:sz w:val="20"/>
        </w:rPr>
        <w:t>Goetheplatz 3</w:t>
      </w:r>
    </w:p>
    <w:p w14:paraId="759180CE" w14:textId="77777777" w:rsidR="00E840FD" w:rsidRPr="007A6EBE" w:rsidRDefault="00E840FD" w:rsidP="00E840FD">
      <w:pPr>
        <w:rPr>
          <w:sz w:val="20"/>
        </w:rPr>
      </w:pPr>
      <w:r w:rsidRPr="007A6EBE">
        <w:rPr>
          <w:sz w:val="20"/>
        </w:rPr>
        <w:t xml:space="preserve">61169 </w:t>
      </w:r>
      <w:r w:rsidRPr="007A6EBE">
        <w:rPr>
          <w:b/>
          <w:sz w:val="20"/>
        </w:rPr>
        <w:t xml:space="preserve">Friedberg </w:t>
      </w:r>
      <w:r w:rsidRPr="007A6EBE">
        <w:rPr>
          <w:sz w:val="20"/>
        </w:rPr>
        <w:t>(Hessen)</w:t>
      </w:r>
    </w:p>
    <w:p w14:paraId="6A07651B" w14:textId="77777777" w:rsidR="00E840FD" w:rsidRPr="007A6EBE" w:rsidRDefault="00E840FD" w:rsidP="00E840FD">
      <w:pPr>
        <w:rPr>
          <w:sz w:val="20"/>
        </w:rPr>
      </w:pPr>
      <w:r w:rsidRPr="007A6EBE">
        <w:rPr>
          <w:sz w:val="20"/>
        </w:rPr>
        <w:t>Telefon:</w:t>
      </w:r>
      <w:r w:rsidRPr="007A6EBE">
        <w:rPr>
          <w:sz w:val="20"/>
        </w:rPr>
        <w:tab/>
        <w:t>0 60 31 / 6 09 - 0</w:t>
      </w:r>
    </w:p>
    <w:p w14:paraId="38BEA9D4" w14:textId="77777777" w:rsidR="00E840FD" w:rsidRPr="007A6EBE" w:rsidRDefault="00E840FD" w:rsidP="00E840FD">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5860EDF" w14:textId="77777777" w:rsidR="00E840FD" w:rsidRDefault="00E840FD" w:rsidP="00E840FD">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02F54739" w14:textId="77777777" w:rsidR="00E840FD" w:rsidRDefault="00E840FD" w:rsidP="00E840FD">
      <w:pPr>
        <w:rPr>
          <w:rStyle w:val="Hyperlink"/>
          <w:sz w:val="18"/>
        </w:rPr>
      </w:pPr>
    </w:p>
    <w:p w14:paraId="16BA10C1" w14:textId="77777777" w:rsidR="00E840FD" w:rsidRDefault="00E840FD" w:rsidP="00E840FD">
      <w:pPr>
        <w:rPr>
          <w:rStyle w:val="Hyperlink"/>
          <w:sz w:val="18"/>
        </w:rPr>
      </w:pPr>
    </w:p>
    <w:p w14:paraId="7B2174AF" w14:textId="77777777" w:rsidR="00E840FD" w:rsidRPr="007A6EBE" w:rsidRDefault="00E840FD" w:rsidP="00E840FD">
      <w:pPr>
        <w:rPr>
          <w:sz w:val="20"/>
        </w:rPr>
      </w:pPr>
      <w:r w:rsidRPr="007A6EBE">
        <w:rPr>
          <w:sz w:val="20"/>
        </w:rPr>
        <w:t>Industrie- und Handelskammer</w:t>
      </w:r>
    </w:p>
    <w:p w14:paraId="4D8653BC" w14:textId="77777777" w:rsidR="00E840FD" w:rsidRPr="007A6EBE" w:rsidRDefault="00E840FD" w:rsidP="00E840FD">
      <w:pPr>
        <w:rPr>
          <w:sz w:val="20"/>
        </w:rPr>
      </w:pPr>
      <w:r>
        <w:rPr>
          <w:b/>
          <w:sz w:val="20"/>
        </w:rPr>
        <w:t xml:space="preserve">Lahn-Dill </w:t>
      </w:r>
    </w:p>
    <w:p w14:paraId="35473E5F" w14:textId="77777777" w:rsidR="00E840FD" w:rsidRPr="007A6EBE" w:rsidRDefault="00E840FD" w:rsidP="00E840F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9308BA5" w14:textId="77777777" w:rsidR="00E840FD" w:rsidRPr="007A6EBE" w:rsidRDefault="00E840FD" w:rsidP="00E840FD">
      <w:pPr>
        <w:rPr>
          <w:sz w:val="20"/>
        </w:rPr>
      </w:pPr>
      <w:r w:rsidRPr="007A6EBE">
        <w:rPr>
          <w:sz w:val="20"/>
        </w:rPr>
        <w:t xml:space="preserve">35685 </w:t>
      </w:r>
      <w:r w:rsidRPr="00705178">
        <w:rPr>
          <w:b/>
          <w:sz w:val="20"/>
        </w:rPr>
        <w:t>Dillenburg</w:t>
      </w:r>
    </w:p>
    <w:p w14:paraId="2669F735" w14:textId="77777777" w:rsidR="00E840FD" w:rsidRPr="007A6EBE" w:rsidRDefault="00E840FD" w:rsidP="00E840FD">
      <w:pPr>
        <w:rPr>
          <w:sz w:val="20"/>
        </w:rPr>
      </w:pPr>
      <w:r w:rsidRPr="007A6EBE">
        <w:rPr>
          <w:sz w:val="20"/>
        </w:rPr>
        <w:t>Telefon:</w:t>
      </w:r>
      <w:r w:rsidRPr="007A6EBE">
        <w:rPr>
          <w:sz w:val="20"/>
        </w:rPr>
        <w:tab/>
        <w:t>0 27 71 / 8 42 - 0</w:t>
      </w:r>
    </w:p>
    <w:p w14:paraId="4A3D83EB" w14:textId="77777777" w:rsidR="00E840FD" w:rsidRDefault="00E840FD" w:rsidP="00E840FD">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34FABC24"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12108EE4" w14:textId="77777777" w:rsidR="00E840FD" w:rsidRDefault="00E840FD" w:rsidP="00E840FD">
      <w:pPr>
        <w:rPr>
          <w:sz w:val="20"/>
        </w:rPr>
      </w:pPr>
    </w:p>
    <w:p w14:paraId="20468431" w14:textId="77777777" w:rsidR="00E840FD" w:rsidRPr="007A6EBE" w:rsidRDefault="00E840FD" w:rsidP="00E840FD">
      <w:pPr>
        <w:rPr>
          <w:sz w:val="20"/>
        </w:rPr>
      </w:pPr>
    </w:p>
    <w:p w14:paraId="4C4A0A97" w14:textId="77777777" w:rsidR="00E840FD" w:rsidRPr="007A6EBE" w:rsidRDefault="00E840FD" w:rsidP="00E840FD">
      <w:pPr>
        <w:rPr>
          <w:sz w:val="20"/>
        </w:rPr>
      </w:pPr>
      <w:r w:rsidRPr="007A6EBE">
        <w:rPr>
          <w:sz w:val="20"/>
        </w:rPr>
        <w:t>Friedenstraße 2</w:t>
      </w:r>
    </w:p>
    <w:p w14:paraId="4F8524F0" w14:textId="77777777" w:rsidR="00E840FD" w:rsidRPr="007A6EBE" w:rsidRDefault="00E840FD" w:rsidP="00E840FD">
      <w:pPr>
        <w:rPr>
          <w:sz w:val="20"/>
        </w:rPr>
      </w:pPr>
      <w:r w:rsidRPr="007A6EBE">
        <w:rPr>
          <w:sz w:val="20"/>
        </w:rPr>
        <w:t xml:space="preserve">35578 </w:t>
      </w:r>
      <w:r w:rsidRPr="00705178">
        <w:rPr>
          <w:b/>
          <w:sz w:val="20"/>
        </w:rPr>
        <w:t>Wetzlar</w:t>
      </w:r>
    </w:p>
    <w:p w14:paraId="41E6DC1C" w14:textId="77777777" w:rsidR="00E840FD" w:rsidRPr="007A6EBE" w:rsidRDefault="00E840FD" w:rsidP="00E840FD">
      <w:pPr>
        <w:rPr>
          <w:sz w:val="20"/>
        </w:rPr>
      </w:pPr>
      <w:r w:rsidRPr="007A6EBE">
        <w:rPr>
          <w:sz w:val="20"/>
        </w:rPr>
        <w:t>Telefon:</w:t>
      </w:r>
      <w:r w:rsidRPr="007A6EBE">
        <w:rPr>
          <w:sz w:val="20"/>
        </w:rPr>
        <w:tab/>
        <w:t>0 64 41 / 94 48 - 0</w:t>
      </w:r>
    </w:p>
    <w:p w14:paraId="5096FE9B" w14:textId="77777777" w:rsidR="00E840FD" w:rsidRPr="007A6EBE" w:rsidRDefault="00E840FD" w:rsidP="00E840FD">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BB25161"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2E8E49C" w14:textId="77777777" w:rsidR="00E840FD" w:rsidRDefault="00E840FD" w:rsidP="00E840FD">
      <w:pPr>
        <w:rPr>
          <w:rStyle w:val="Hyperlink"/>
          <w:sz w:val="20"/>
        </w:rPr>
      </w:pPr>
    </w:p>
    <w:p w14:paraId="0B96FD81" w14:textId="77777777" w:rsidR="00E840FD" w:rsidRDefault="00E840FD" w:rsidP="00E840FD">
      <w:pPr>
        <w:rPr>
          <w:rStyle w:val="Hyperlink"/>
          <w:sz w:val="20"/>
        </w:rPr>
      </w:pPr>
    </w:p>
    <w:p w14:paraId="56BEE3E2" w14:textId="77777777" w:rsidR="00E840FD" w:rsidRPr="007A6EBE" w:rsidRDefault="00E840FD" w:rsidP="00E840FD">
      <w:pPr>
        <w:rPr>
          <w:sz w:val="20"/>
        </w:rPr>
      </w:pPr>
      <w:r w:rsidRPr="007A6EBE">
        <w:rPr>
          <w:sz w:val="20"/>
        </w:rPr>
        <w:lastRenderedPageBreak/>
        <w:t>Industrie- und Handelskammer</w:t>
      </w:r>
    </w:p>
    <w:p w14:paraId="74394484" w14:textId="77777777" w:rsidR="00E840FD" w:rsidRPr="007A6EBE" w:rsidRDefault="00E840FD" w:rsidP="00E840FD">
      <w:pPr>
        <w:rPr>
          <w:sz w:val="20"/>
        </w:rPr>
      </w:pPr>
      <w:r w:rsidRPr="007A6EBE">
        <w:rPr>
          <w:b/>
          <w:sz w:val="20"/>
        </w:rPr>
        <w:t>Limburg</w:t>
      </w:r>
    </w:p>
    <w:p w14:paraId="54067FFA" w14:textId="77777777" w:rsidR="00E840FD" w:rsidRPr="007A6EBE" w:rsidRDefault="00E840FD" w:rsidP="00E840FD">
      <w:pPr>
        <w:rPr>
          <w:sz w:val="20"/>
        </w:rPr>
      </w:pPr>
      <w:proofErr w:type="spellStart"/>
      <w:r w:rsidRPr="007A6EBE">
        <w:rPr>
          <w:sz w:val="20"/>
        </w:rPr>
        <w:t>Walderdorffstraße</w:t>
      </w:r>
      <w:proofErr w:type="spellEnd"/>
      <w:r w:rsidRPr="007A6EBE">
        <w:rPr>
          <w:sz w:val="20"/>
        </w:rPr>
        <w:t xml:space="preserve"> 7</w:t>
      </w:r>
    </w:p>
    <w:p w14:paraId="186875C3" w14:textId="77777777" w:rsidR="00E840FD" w:rsidRPr="007A6EBE" w:rsidRDefault="00E840FD" w:rsidP="00E840FD">
      <w:pPr>
        <w:rPr>
          <w:sz w:val="20"/>
        </w:rPr>
      </w:pPr>
      <w:r w:rsidRPr="007A6EBE">
        <w:rPr>
          <w:sz w:val="20"/>
        </w:rPr>
        <w:t>65549 Limburg a. d. Lahn</w:t>
      </w:r>
    </w:p>
    <w:p w14:paraId="7A7A6871" w14:textId="77777777" w:rsidR="00E840FD" w:rsidRPr="007A6EBE" w:rsidRDefault="00E840FD" w:rsidP="00E840FD">
      <w:pPr>
        <w:rPr>
          <w:sz w:val="20"/>
        </w:rPr>
      </w:pPr>
      <w:r w:rsidRPr="007A6EBE">
        <w:rPr>
          <w:sz w:val="20"/>
        </w:rPr>
        <w:t>Telefon:</w:t>
      </w:r>
      <w:r w:rsidRPr="007A6EBE">
        <w:rPr>
          <w:sz w:val="20"/>
        </w:rPr>
        <w:tab/>
        <w:t>0 64 31 / 2 10 - 0</w:t>
      </w:r>
    </w:p>
    <w:p w14:paraId="4505B681" w14:textId="77777777" w:rsidR="00E840FD" w:rsidRDefault="00E840FD" w:rsidP="00E840FD">
      <w:pPr>
        <w:rPr>
          <w:sz w:val="20"/>
        </w:rPr>
      </w:pPr>
      <w:r>
        <w:rPr>
          <w:sz w:val="20"/>
        </w:rPr>
        <w:t>Internet:</w:t>
      </w:r>
      <w:r>
        <w:rPr>
          <w:sz w:val="20"/>
        </w:rPr>
        <w:tab/>
      </w:r>
      <w:hyperlink r:id="rId28" w:history="1">
        <w:r w:rsidRPr="004E2E7B">
          <w:rPr>
            <w:rStyle w:val="Hyperlink"/>
            <w:sz w:val="20"/>
          </w:rPr>
          <w:t>https://www.ihk.de/limburg</w:t>
        </w:r>
      </w:hyperlink>
    </w:p>
    <w:p w14:paraId="07374BA8"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6F5E28DF" w14:textId="77777777" w:rsidR="00E840FD" w:rsidRDefault="00E840FD" w:rsidP="00E840FD">
      <w:pPr>
        <w:rPr>
          <w:rStyle w:val="Hyperlink"/>
          <w:sz w:val="20"/>
        </w:rPr>
      </w:pPr>
    </w:p>
    <w:p w14:paraId="0A52DFBC" w14:textId="77777777" w:rsidR="00E840FD" w:rsidRDefault="00E840FD" w:rsidP="00E840FD">
      <w:pPr>
        <w:rPr>
          <w:sz w:val="20"/>
        </w:rPr>
      </w:pPr>
    </w:p>
    <w:p w14:paraId="285DF85B" w14:textId="77777777" w:rsidR="00E840FD" w:rsidRPr="007A6EBE" w:rsidRDefault="00E840FD" w:rsidP="00E840FD">
      <w:pPr>
        <w:rPr>
          <w:sz w:val="20"/>
        </w:rPr>
      </w:pPr>
      <w:r w:rsidRPr="007A6EBE">
        <w:rPr>
          <w:sz w:val="20"/>
        </w:rPr>
        <w:t>Industrie- und Handelskammer</w:t>
      </w:r>
    </w:p>
    <w:p w14:paraId="380D725B" w14:textId="77777777" w:rsidR="00E840FD" w:rsidRPr="007A6EBE" w:rsidRDefault="00E840FD" w:rsidP="00E840FD">
      <w:pPr>
        <w:rPr>
          <w:sz w:val="20"/>
        </w:rPr>
      </w:pPr>
      <w:r w:rsidRPr="007A6EBE">
        <w:rPr>
          <w:b/>
          <w:sz w:val="20"/>
        </w:rPr>
        <w:t>Fulda</w:t>
      </w:r>
    </w:p>
    <w:p w14:paraId="76E8E8D8" w14:textId="77777777" w:rsidR="00E840FD" w:rsidRPr="007A6EBE" w:rsidRDefault="00E840FD" w:rsidP="00E840FD">
      <w:pPr>
        <w:rPr>
          <w:sz w:val="20"/>
        </w:rPr>
      </w:pPr>
      <w:r w:rsidRPr="007A6EBE">
        <w:rPr>
          <w:sz w:val="20"/>
        </w:rPr>
        <w:t>Heinrichstraße 8</w:t>
      </w:r>
    </w:p>
    <w:p w14:paraId="603993DD" w14:textId="77777777" w:rsidR="00E840FD" w:rsidRPr="007A6EBE" w:rsidRDefault="00E840FD" w:rsidP="00E840FD">
      <w:pPr>
        <w:rPr>
          <w:sz w:val="20"/>
        </w:rPr>
      </w:pPr>
      <w:r w:rsidRPr="007A6EBE">
        <w:rPr>
          <w:sz w:val="20"/>
        </w:rPr>
        <w:t>36037 Fulda</w:t>
      </w:r>
    </w:p>
    <w:p w14:paraId="1BEA669F" w14:textId="77777777" w:rsidR="00E840FD" w:rsidRPr="007A6EBE" w:rsidRDefault="00E840FD" w:rsidP="00E840FD">
      <w:pPr>
        <w:rPr>
          <w:sz w:val="20"/>
        </w:rPr>
      </w:pPr>
      <w:r w:rsidRPr="007A6EBE">
        <w:rPr>
          <w:sz w:val="20"/>
        </w:rPr>
        <w:t>Telefon:</w:t>
      </w:r>
      <w:r w:rsidRPr="007A6EBE">
        <w:rPr>
          <w:sz w:val="20"/>
        </w:rPr>
        <w:tab/>
        <w:t>06 61 / 2 84 - 0</w:t>
      </w:r>
    </w:p>
    <w:p w14:paraId="0A6F935E" w14:textId="77777777" w:rsidR="00E840FD" w:rsidRPr="00F43BB7" w:rsidRDefault="00E840FD" w:rsidP="00E840FD">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75753A10"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2D416B81" w14:textId="77777777" w:rsidR="00E840FD" w:rsidRDefault="00E840FD" w:rsidP="00E840FD">
      <w:pPr>
        <w:rPr>
          <w:rStyle w:val="Hyperlink"/>
          <w:sz w:val="20"/>
        </w:rPr>
      </w:pPr>
    </w:p>
    <w:p w14:paraId="41C5F8B9" w14:textId="77777777" w:rsidR="00E840FD" w:rsidRDefault="00E840FD" w:rsidP="00E840FD">
      <w:pPr>
        <w:rPr>
          <w:rStyle w:val="Hyperlink"/>
          <w:sz w:val="20"/>
        </w:rPr>
      </w:pPr>
    </w:p>
    <w:p w14:paraId="62E3A846" w14:textId="77777777" w:rsidR="00E840FD" w:rsidRPr="007A6EBE" w:rsidRDefault="00E840FD" w:rsidP="00E840FD">
      <w:pPr>
        <w:rPr>
          <w:sz w:val="20"/>
        </w:rPr>
      </w:pPr>
      <w:r w:rsidRPr="007A6EBE">
        <w:rPr>
          <w:sz w:val="20"/>
        </w:rPr>
        <w:t>Industrie- und Handelskammer</w:t>
      </w:r>
    </w:p>
    <w:p w14:paraId="52BB61D1" w14:textId="77777777" w:rsidR="00E840FD" w:rsidRPr="007A6EBE" w:rsidRDefault="00E840FD" w:rsidP="00E840FD">
      <w:pPr>
        <w:rPr>
          <w:sz w:val="20"/>
        </w:rPr>
      </w:pPr>
      <w:r w:rsidRPr="007A6EBE">
        <w:rPr>
          <w:b/>
          <w:sz w:val="20"/>
        </w:rPr>
        <w:t>Hanau-Gelnhausen-Schlüchtern</w:t>
      </w:r>
    </w:p>
    <w:p w14:paraId="79A46757" w14:textId="77777777" w:rsidR="00E840FD" w:rsidRPr="007A6EBE" w:rsidRDefault="00E840FD" w:rsidP="00E840FD">
      <w:pPr>
        <w:rPr>
          <w:sz w:val="20"/>
        </w:rPr>
      </w:pPr>
      <w:r w:rsidRPr="007A6EBE">
        <w:rPr>
          <w:sz w:val="20"/>
        </w:rPr>
        <w:t>Am Pedro-Jung-Park 14</w:t>
      </w:r>
    </w:p>
    <w:p w14:paraId="331D5B55" w14:textId="77777777" w:rsidR="00E840FD" w:rsidRPr="007A6EBE" w:rsidRDefault="00E840FD" w:rsidP="00E840FD">
      <w:pPr>
        <w:rPr>
          <w:sz w:val="20"/>
        </w:rPr>
      </w:pPr>
      <w:r w:rsidRPr="007A6EBE">
        <w:rPr>
          <w:sz w:val="20"/>
        </w:rPr>
        <w:t>63450 Hanau</w:t>
      </w:r>
    </w:p>
    <w:p w14:paraId="0845A6EC" w14:textId="77777777" w:rsidR="00E840FD" w:rsidRPr="007A6EBE" w:rsidRDefault="00E840FD" w:rsidP="00E840FD">
      <w:pPr>
        <w:rPr>
          <w:sz w:val="20"/>
        </w:rPr>
      </w:pPr>
      <w:r w:rsidRPr="007A6EBE">
        <w:rPr>
          <w:sz w:val="20"/>
        </w:rPr>
        <w:t>Telefon:</w:t>
      </w:r>
      <w:r w:rsidRPr="007A6EBE">
        <w:rPr>
          <w:sz w:val="20"/>
        </w:rPr>
        <w:tab/>
        <w:t>0 61 81 / 92 90 - 0</w:t>
      </w:r>
    </w:p>
    <w:p w14:paraId="73215372" w14:textId="77777777" w:rsidR="00E840FD" w:rsidRPr="008E38A8" w:rsidRDefault="00E840FD" w:rsidP="00E840FD">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608B2097"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546E3B83" w14:textId="77777777" w:rsidR="00E840FD" w:rsidRDefault="00E840FD" w:rsidP="00E840FD">
      <w:pPr>
        <w:rPr>
          <w:sz w:val="20"/>
        </w:rPr>
      </w:pPr>
    </w:p>
    <w:p w14:paraId="23EDF7B1" w14:textId="77777777" w:rsidR="00E840FD" w:rsidRPr="007A6EBE" w:rsidRDefault="00E840FD" w:rsidP="00E840FD">
      <w:pPr>
        <w:rPr>
          <w:sz w:val="20"/>
        </w:rPr>
      </w:pPr>
    </w:p>
    <w:p w14:paraId="7B4418BD" w14:textId="77777777" w:rsidR="00E840FD" w:rsidRPr="007A6EBE" w:rsidRDefault="00E840FD" w:rsidP="00E840FD">
      <w:pPr>
        <w:rPr>
          <w:sz w:val="20"/>
        </w:rPr>
      </w:pPr>
      <w:r w:rsidRPr="007A6EBE">
        <w:rPr>
          <w:sz w:val="20"/>
        </w:rPr>
        <w:t>Industrie- und Handelskammer</w:t>
      </w:r>
    </w:p>
    <w:p w14:paraId="7E7609E3" w14:textId="77777777" w:rsidR="00E840FD" w:rsidRDefault="00E840FD" w:rsidP="00E840FD">
      <w:pPr>
        <w:rPr>
          <w:b/>
          <w:sz w:val="20"/>
        </w:rPr>
      </w:pPr>
      <w:r>
        <w:rPr>
          <w:b/>
          <w:sz w:val="20"/>
        </w:rPr>
        <w:t>Kassel-Marburg</w:t>
      </w:r>
    </w:p>
    <w:p w14:paraId="116633CB" w14:textId="77777777" w:rsidR="00E840FD" w:rsidRPr="007A6EBE" w:rsidRDefault="00E840FD" w:rsidP="00E840FD">
      <w:pPr>
        <w:rPr>
          <w:sz w:val="20"/>
        </w:rPr>
      </w:pPr>
      <w:r w:rsidRPr="007A6EBE">
        <w:rPr>
          <w:sz w:val="20"/>
        </w:rPr>
        <w:t>Kurfürstenstraße 9</w:t>
      </w:r>
    </w:p>
    <w:p w14:paraId="18DD9CA2" w14:textId="77777777" w:rsidR="00E840FD" w:rsidRPr="007A6EBE" w:rsidRDefault="00E840FD" w:rsidP="00E840FD">
      <w:pPr>
        <w:rPr>
          <w:sz w:val="20"/>
        </w:rPr>
      </w:pPr>
      <w:r w:rsidRPr="007A6EBE">
        <w:rPr>
          <w:sz w:val="20"/>
        </w:rPr>
        <w:t>34117 Kassel</w:t>
      </w:r>
    </w:p>
    <w:p w14:paraId="08CEBAF0" w14:textId="77777777" w:rsidR="00E840FD" w:rsidRPr="007A6EBE" w:rsidRDefault="00E840FD" w:rsidP="00E840FD">
      <w:pPr>
        <w:rPr>
          <w:sz w:val="20"/>
        </w:rPr>
      </w:pPr>
      <w:r w:rsidRPr="007A6EBE">
        <w:rPr>
          <w:sz w:val="20"/>
        </w:rPr>
        <w:t>Telefon:</w:t>
      </w:r>
      <w:r w:rsidRPr="007A6EBE">
        <w:rPr>
          <w:sz w:val="20"/>
        </w:rPr>
        <w:tab/>
        <w:t>05 61 / 78 91 - 0</w:t>
      </w:r>
    </w:p>
    <w:p w14:paraId="7DE6329F" w14:textId="77777777" w:rsidR="00E840FD" w:rsidRPr="007A6EBE" w:rsidRDefault="00E840FD" w:rsidP="00E840FD">
      <w:pPr>
        <w:rPr>
          <w:sz w:val="20"/>
        </w:rPr>
      </w:pPr>
      <w:r w:rsidRPr="007A6EBE">
        <w:rPr>
          <w:sz w:val="20"/>
        </w:rPr>
        <w:t>Telefax:</w:t>
      </w:r>
      <w:r w:rsidRPr="007A6EBE">
        <w:rPr>
          <w:sz w:val="20"/>
        </w:rPr>
        <w:tab/>
        <w:t>05 61 / 78 91 - 2 90</w:t>
      </w:r>
    </w:p>
    <w:p w14:paraId="0330E8C3" w14:textId="77777777" w:rsidR="00E840FD" w:rsidRPr="004E2E7B" w:rsidRDefault="00E840FD" w:rsidP="00E840FD">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065E4301"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93D3FC0" w14:textId="77777777" w:rsidR="00E840FD" w:rsidRDefault="00E840FD" w:rsidP="00E840FD">
      <w:pPr>
        <w:rPr>
          <w:sz w:val="20"/>
        </w:rPr>
      </w:pPr>
    </w:p>
    <w:p w14:paraId="6DC39708" w14:textId="77777777" w:rsidR="00E840FD" w:rsidRPr="007A6EBE" w:rsidRDefault="00E840FD" w:rsidP="00E840FD">
      <w:pPr>
        <w:rPr>
          <w:sz w:val="20"/>
        </w:rPr>
      </w:pPr>
    </w:p>
    <w:p w14:paraId="03860D37" w14:textId="77777777" w:rsidR="00E840FD" w:rsidRPr="007A6EBE" w:rsidRDefault="00E840FD" w:rsidP="00E840FD">
      <w:pPr>
        <w:rPr>
          <w:sz w:val="20"/>
        </w:rPr>
      </w:pPr>
      <w:r w:rsidRPr="007A6EBE">
        <w:rPr>
          <w:sz w:val="20"/>
        </w:rPr>
        <w:t>Industrie- und Handelskammer</w:t>
      </w:r>
    </w:p>
    <w:p w14:paraId="48B59B78" w14:textId="77777777" w:rsidR="00E840FD" w:rsidRPr="007A6EBE" w:rsidRDefault="00E840FD" w:rsidP="00E840FD">
      <w:pPr>
        <w:rPr>
          <w:b/>
          <w:sz w:val="20"/>
        </w:rPr>
      </w:pPr>
      <w:r w:rsidRPr="007A6EBE">
        <w:rPr>
          <w:b/>
          <w:sz w:val="20"/>
        </w:rPr>
        <w:t>Offenbach am Main</w:t>
      </w:r>
    </w:p>
    <w:p w14:paraId="7A1A360A" w14:textId="77777777" w:rsidR="00E840FD" w:rsidRPr="007A6EBE" w:rsidRDefault="00E840FD" w:rsidP="00E840FD">
      <w:pPr>
        <w:rPr>
          <w:sz w:val="20"/>
        </w:rPr>
      </w:pPr>
      <w:r w:rsidRPr="007A6EBE">
        <w:rPr>
          <w:sz w:val="20"/>
        </w:rPr>
        <w:t>Frankfurter Str. 90</w:t>
      </w:r>
    </w:p>
    <w:p w14:paraId="5A98099A" w14:textId="77777777" w:rsidR="00E840FD" w:rsidRPr="007A6EBE" w:rsidRDefault="00E840FD" w:rsidP="00E840FD">
      <w:pPr>
        <w:rPr>
          <w:sz w:val="20"/>
        </w:rPr>
      </w:pPr>
      <w:r w:rsidRPr="007A6EBE">
        <w:rPr>
          <w:sz w:val="20"/>
        </w:rPr>
        <w:t>63067 Offenbach</w:t>
      </w:r>
    </w:p>
    <w:p w14:paraId="15B54F69" w14:textId="77777777" w:rsidR="00E840FD" w:rsidRPr="007A6EBE" w:rsidRDefault="00E840FD" w:rsidP="00E840FD">
      <w:pPr>
        <w:rPr>
          <w:sz w:val="20"/>
        </w:rPr>
      </w:pPr>
      <w:r w:rsidRPr="007A6EBE">
        <w:rPr>
          <w:sz w:val="20"/>
        </w:rPr>
        <w:t>Telefon:</w:t>
      </w:r>
      <w:r w:rsidRPr="007A6EBE">
        <w:rPr>
          <w:sz w:val="20"/>
        </w:rPr>
        <w:tab/>
        <w:t>0 69 / 82 07 - 0</w:t>
      </w:r>
    </w:p>
    <w:p w14:paraId="67B42949" w14:textId="77777777" w:rsidR="00E840FD" w:rsidRPr="007A6EBE" w:rsidRDefault="00E840FD" w:rsidP="00E840FD">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5A0D3ED"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05EEEEFD" w14:textId="77777777" w:rsidR="00E840FD" w:rsidRDefault="00E840FD" w:rsidP="00E840FD">
      <w:pPr>
        <w:rPr>
          <w:b/>
        </w:rPr>
      </w:pPr>
    </w:p>
    <w:p w14:paraId="3A5302C1" w14:textId="77777777" w:rsidR="00E840FD" w:rsidRDefault="00E840FD" w:rsidP="00E840FD">
      <w:pPr>
        <w:rPr>
          <w:b/>
        </w:rPr>
      </w:pPr>
    </w:p>
    <w:p w14:paraId="1D9D6B59" w14:textId="77777777" w:rsidR="00E840FD" w:rsidRPr="007A6EBE" w:rsidRDefault="00E840FD" w:rsidP="00E840FD">
      <w:pPr>
        <w:rPr>
          <w:sz w:val="20"/>
        </w:rPr>
      </w:pPr>
      <w:r w:rsidRPr="007A6EBE">
        <w:rPr>
          <w:sz w:val="20"/>
        </w:rPr>
        <w:t>Industrie- und Handelskammer</w:t>
      </w:r>
    </w:p>
    <w:p w14:paraId="3B2C08E1" w14:textId="77777777" w:rsidR="00E840FD" w:rsidRPr="007A6EBE" w:rsidRDefault="00E840FD" w:rsidP="00E840FD">
      <w:pPr>
        <w:rPr>
          <w:b/>
          <w:sz w:val="20"/>
        </w:rPr>
      </w:pPr>
      <w:r w:rsidRPr="007A6EBE">
        <w:rPr>
          <w:b/>
          <w:sz w:val="20"/>
        </w:rPr>
        <w:t>Wiesbaden</w:t>
      </w:r>
    </w:p>
    <w:p w14:paraId="235D6786" w14:textId="77777777" w:rsidR="00E840FD" w:rsidRPr="007A6EBE" w:rsidRDefault="00E840FD" w:rsidP="00E840FD">
      <w:pPr>
        <w:rPr>
          <w:sz w:val="20"/>
        </w:rPr>
      </w:pPr>
      <w:r w:rsidRPr="007A6EBE">
        <w:rPr>
          <w:sz w:val="20"/>
        </w:rPr>
        <w:t xml:space="preserve">Wilhelmstraße 24 </w:t>
      </w:r>
      <w:r>
        <w:rPr>
          <w:sz w:val="20"/>
        </w:rPr>
        <w:t>–</w:t>
      </w:r>
      <w:r w:rsidRPr="007A6EBE">
        <w:rPr>
          <w:sz w:val="20"/>
        </w:rPr>
        <w:t xml:space="preserve"> 26</w:t>
      </w:r>
    </w:p>
    <w:p w14:paraId="5159339B" w14:textId="77777777" w:rsidR="00E840FD" w:rsidRPr="007A6EBE" w:rsidRDefault="00E840FD" w:rsidP="00E840FD">
      <w:pPr>
        <w:rPr>
          <w:sz w:val="20"/>
        </w:rPr>
      </w:pPr>
      <w:r w:rsidRPr="007A6EBE">
        <w:rPr>
          <w:sz w:val="20"/>
        </w:rPr>
        <w:t>65183 Wiesbaden</w:t>
      </w:r>
    </w:p>
    <w:p w14:paraId="661D966D" w14:textId="77777777" w:rsidR="00E840FD" w:rsidRPr="007A6EBE" w:rsidRDefault="00E840FD" w:rsidP="00E840FD">
      <w:pPr>
        <w:rPr>
          <w:sz w:val="20"/>
        </w:rPr>
      </w:pPr>
      <w:r w:rsidRPr="007A6EBE">
        <w:rPr>
          <w:sz w:val="20"/>
        </w:rPr>
        <w:t>Telefon:</w:t>
      </w:r>
      <w:r w:rsidRPr="007A6EBE">
        <w:rPr>
          <w:sz w:val="20"/>
        </w:rPr>
        <w:tab/>
        <w:t>06 11 / 15 00 - 0</w:t>
      </w:r>
    </w:p>
    <w:p w14:paraId="1820BAA0" w14:textId="77777777" w:rsidR="00E840FD" w:rsidRPr="007A6EBE" w:rsidRDefault="00E840FD" w:rsidP="00E840FD">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3AA45C99" w14:textId="77777777" w:rsidR="00E840FD" w:rsidRDefault="00E840FD" w:rsidP="00E840FD">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2B264935" w14:textId="77777777" w:rsidR="005D41B2" w:rsidRDefault="005D41B2" w:rsidP="005D41B2">
      <w:pPr>
        <w:rPr>
          <w:b/>
        </w:rPr>
      </w:pPr>
    </w:p>
    <w:sectPr w:rsidR="005D41B2" w:rsidSect="00CD303D">
      <w:headerReference w:type="default" r:id="rId40"/>
      <w:headerReference w:type="first" r:id="rId41"/>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57CF"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57532">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57532">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6C07" w14:textId="4451797C" w:rsidR="00D37D47" w:rsidRPr="00D37D47" w:rsidRDefault="00D37D47" w:rsidP="00D37D47">
    <w:pPr>
      <w:rPr>
        <w:sz w:val="20"/>
      </w:rPr>
    </w:pPr>
    <w:r w:rsidRPr="00D37D47">
      <w:rPr>
        <w:sz w:val="20"/>
      </w:rPr>
      <w:t>S</w:t>
    </w:r>
    <w:r w:rsidR="00312AEC">
      <w:rPr>
        <w:sz w:val="20"/>
      </w:rPr>
      <w:t>tand: 1. Januar 202</w:t>
    </w:r>
    <w:r w:rsidR="007104FE">
      <w:rPr>
        <w:sz w:val="20"/>
      </w:rPr>
      <w:t>3</w:t>
    </w:r>
  </w:p>
  <w:p w14:paraId="4CEA1173"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6DAC">
      <w:rPr>
        <w:rStyle w:val="Seitenzahl"/>
        <w:noProof/>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6DAC">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7623" w14:textId="77777777" w:rsidR="006D32EB" w:rsidRDefault="006D32EB">
    <w:pPr>
      <w:pStyle w:val="Kopfzeile"/>
      <w:rPr>
        <w:color w:val="808080"/>
      </w:rPr>
    </w:pPr>
  </w:p>
  <w:p w14:paraId="2A640E4F" w14:textId="77777777" w:rsidR="006D32EB" w:rsidRDefault="006D32EB">
    <w:pPr>
      <w:pStyle w:val="Kopfzeile"/>
      <w:rPr>
        <w:color w:val="808080"/>
      </w:rPr>
    </w:pPr>
  </w:p>
  <w:p w14:paraId="5B85AE43" w14:textId="77777777" w:rsidR="006D32EB" w:rsidRDefault="006D32EB">
    <w:pPr>
      <w:pStyle w:val="Kopfzeile"/>
      <w:rPr>
        <w:color w:val="808080"/>
      </w:rPr>
    </w:pPr>
  </w:p>
  <w:p w14:paraId="327B17B5" w14:textId="77777777" w:rsidR="006D32EB" w:rsidRDefault="006D32EB">
    <w:pPr>
      <w:pStyle w:val="Kopfzeile"/>
      <w:rPr>
        <w:color w:val="808080"/>
      </w:rPr>
    </w:pPr>
  </w:p>
  <w:p w14:paraId="37494CA7" w14:textId="1E0979F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59AE" w14:textId="77777777" w:rsidR="00CF7AEB" w:rsidRDefault="00CF7AEB">
    <w:pPr>
      <w:pStyle w:val="Kopfzeile"/>
    </w:pPr>
    <w:r>
      <w:rPr>
        <w:noProof/>
        <w:sz w:val="16"/>
      </w:rPr>
      <w:drawing>
        <wp:inline distT="0" distB="0" distL="0" distR="0" wp14:anchorId="78DCF812" wp14:editId="5025C2A6">
          <wp:extent cx="2240280" cy="563880"/>
          <wp:effectExtent l="0" t="0" r="7620" b="7620"/>
          <wp:docPr id="2" name="Grafik 2"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035731A5" w14:textId="77777777" w:rsidR="00D37D47" w:rsidRDefault="00D37D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A87" w14:textId="77777777" w:rsidR="006D32EB" w:rsidRDefault="00CF7AEB">
    <w:pPr>
      <w:pStyle w:val="Kopfzeile"/>
      <w:rPr>
        <w:color w:val="808080"/>
      </w:rPr>
    </w:pPr>
    <w:r>
      <w:rPr>
        <w:noProof/>
        <w:sz w:val="16"/>
      </w:rPr>
      <w:drawing>
        <wp:inline distT="0" distB="0" distL="0" distR="0" wp14:anchorId="53A93ABD" wp14:editId="1E3F35BC">
          <wp:extent cx="2240280" cy="563880"/>
          <wp:effectExtent l="0" t="0" r="7620" b="7620"/>
          <wp:docPr id="3" name="Grafik 3"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4703A9B0" w14:textId="77777777" w:rsidR="006D32EB" w:rsidRDefault="006D32EB">
    <w:pPr>
      <w:pStyle w:val="Kopfzeile"/>
      <w:rPr>
        <w:color w:val="808080"/>
      </w:rPr>
    </w:pPr>
  </w:p>
  <w:p w14:paraId="7291AD4F" w14:textId="77777777" w:rsidR="006D32EB" w:rsidRDefault="006D32EB">
    <w:pPr>
      <w:pStyle w:val="Kopfzeile"/>
      <w:rPr>
        <w:color w:val="808080"/>
      </w:rPr>
    </w:pPr>
  </w:p>
  <w:p w14:paraId="59B2B0E0" w14:textId="77777777" w:rsidR="006D32EB" w:rsidRDefault="006D32EB">
    <w:pPr>
      <w:pStyle w:val="Kopfzeile"/>
      <w:rPr>
        <w:color w:val="808080"/>
      </w:rPr>
    </w:pPr>
  </w:p>
  <w:p w14:paraId="373860E9" w14:textId="46A14660" w:rsidR="006D32EB" w:rsidRDefault="006D32E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5C0" w14:textId="77777777" w:rsidR="00CD303D" w:rsidRDefault="00CD303D">
    <w:pPr>
      <w:pStyle w:val="Kopfzeile"/>
    </w:pPr>
    <w:r>
      <w:rPr>
        <w:noProof/>
        <w:sz w:val="16"/>
      </w:rPr>
      <w:drawing>
        <wp:inline distT="0" distB="0" distL="0" distR="0" wp14:anchorId="01F2BA2C" wp14:editId="57DCCC60">
          <wp:extent cx="2240280" cy="563880"/>
          <wp:effectExtent l="0" t="0" r="7620" b="7620"/>
          <wp:docPr id="1" name="Grafik 1"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2E86CB16" w14:textId="77777777" w:rsidR="00CD303D" w:rsidRDefault="00CD3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6BD89A40"/>
    <w:lvl w:ilvl="0" w:tplc="21D0A7DE">
      <w:start w:val="1"/>
      <w:numFmt w:val="upperRoman"/>
      <w:lvlText w:val="%1."/>
      <w:lvlJc w:val="righ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62A839AC"/>
    <w:lvl w:ilvl="0" w:tplc="0340FA72">
      <w:start w:val="9"/>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5"/>
  </w:num>
  <w:num w:numId="4" w16cid:durableId="2113624215">
    <w:abstractNumId w:val="16"/>
  </w:num>
  <w:num w:numId="5" w16cid:durableId="30112886">
    <w:abstractNumId w:val="6"/>
  </w:num>
  <w:num w:numId="6" w16cid:durableId="962928903">
    <w:abstractNumId w:val="29"/>
  </w:num>
  <w:num w:numId="7" w16cid:durableId="219829951">
    <w:abstractNumId w:val="28"/>
  </w:num>
  <w:num w:numId="8" w16cid:durableId="165437973">
    <w:abstractNumId w:val="22"/>
  </w:num>
  <w:num w:numId="9" w16cid:durableId="764107759">
    <w:abstractNumId w:val="11"/>
  </w:num>
  <w:num w:numId="10" w16cid:durableId="656343199">
    <w:abstractNumId w:val="0"/>
  </w:num>
  <w:num w:numId="11" w16cid:durableId="197477763">
    <w:abstractNumId w:val="7"/>
  </w:num>
  <w:num w:numId="12" w16cid:durableId="1916889212">
    <w:abstractNumId w:val="24"/>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3"/>
  </w:num>
  <w:num w:numId="18" w16cid:durableId="1258635930">
    <w:abstractNumId w:val="27"/>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1"/>
  </w:num>
  <w:num w:numId="26" w16cid:durableId="1714036906">
    <w:abstractNumId w:val="19"/>
  </w:num>
  <w:num w:numId="27" w16cid:durableId="814418990">
    <w:abstractNumId w:val="2"/>
  </w:num>
  <w:num w:numId="28" w16cid:durableId="849444858">
    <w:abstractNumId w:val="30"/>
  </w:num>
  <w:num w:numId="29" w16cid:durableId="419837124">
    <w:abstractNumId w:val="1"/>
  </w:num>
  <w:num w:numId="30" w16cid:durableId="463740585">
    <w:abstractNumId w:val="26"/>
  </w:num>
  <w:num w:numId="31" w16cid:durableId="2061325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0"/>
    <w:rsid w:val="000051CE"/>
    <w:rsid w:val="0002165D"/>
    <w:rsid w:val="00021ED5"/>
    <w:rsid w:val="00030D1C"/>
    <w:rsid w:val="00040A51"/>
    <w:rsid w:val="000459BF"/>
    <w:rsid w:val="000557AA"/>
    <w:rsid w:val="00063155"/>
    <w:rsid w:val="00086F57"/>
    <w:rsid w:val="000B6FF4"/>
    <w:rsid w:val="000F6F09"/>
    <w:rsid w:val="001126D9"/>
    <w:rsid w:val="001273C3"/>
    <w:rsid w:val="001317B8"/>
    <w:rsid w:val="001535E9"/>
    <w:rsid w:val="0016349B"/>
    <w:rsid w:val="0018047B"/>
    <w:rsid w:val="00181BE8"/>
    <w:rsid w:val="001A0F1A"/>
    <w:rsid w:val="001B47C6"/>
    <w:rsid w:val="001D22C9"/>
    <w:rsid w:val="00201FD1"/>
    <w:rsid w:val="00214AFD"/>
    <w:rsid w:val="00223071"/>
    <w:rsid w:val="002237C2"/>
    <w:rsid w:val="00251827"/>
    <w:rsid w:val="00276CD2"/>
    <w:rsid w:val="00277988"/>
    <w:rsid w:val="002B2441"/>
    <w:rsid w:val="002B50CB"/>
    <w:rsid w:val="002C0749"/>
    <w:rsid w:val="002C3D04"/>
    <w:rsid w:val="002C7D73"/>
    <w:rsid w:val="002D6205"/>
    <w:rsid w:val="00312AEC"/>
    <w:rsid w:val="00335B6F"/>
    <w:rsid w:val="003909D0"/>
    <w:rsid w:val="00391D4F"/>
    <w:rsid w:val="003A60F9"/>
    <w:rsid w:val="003C3667"/>
    <w:rsid w:val="003D1482"/>
    <w:rsid w:val="003F1D66"/>
    <w:rsid w:val="00400010"/>
    <w:rsid w:val="00400DF8"/>
    <w:rsid w:val="00402FFE"/>
    <w:rsid w:val="00406633"/>
    <w:rsid w:val="004253F7"/>
    <w:rsid w:val="00443ED4"/>
    <w:rsid w:val="00446658"/>
    <w:rsid w:val="004473DB"/>
    <w:rsid w:val="00460690"/>
    <w:rsid w:val="00472902"/>
    <w:rsid w:val="00475C4C"/>
    <w:rsid w:val="004773A7"/>
    <w:rsid w:val="004833FA"/>
    <w:rsid w:val="00484FF0"/>
    <w:rsid w:val="004B0298"/>
    <w:rsid w:val="004C47C0"/>
    <w:rsid w:val="004D1DBD"/>
    <w:rsid w:val="004D4A86"/>
    <w:rsid w:val="00504D6F"/>
    <w:rsid w:val="00515A3E"/>
    <w:rsid w:val="00526CB3"/>
    <w:rsid w:val="005420F8"/>
    <w:rsid w:val="00554C41"/>
    <w:rsid w:val="00574D63"/>
    <w:rsid w:val="00586EC0"/>
    <w:rsid w:val="00595766"/>
    <w:rsid w:val="005B3714"/>
    <w:rsid w:val="005D41B2"/>
    <w:rsid w:val="005D6B25"/>
    <w:rsid w:val="00624371"/>
    <w:rsid w:val="00650A75"/>
    <w:rsid w:val="00656BDE"/>
    <w:rsid w:val="0066588D"/>
    <w:rsid w:val="0067232A"/>
    <w:rsid w:val="00682EA8"/>
    <w:rsid w:val="006B38CA"/>
    <w:rsid w:val="006D0003"/>
    <w:rsid w:val="006D32EB"/>
    <w:rsid w:val="006F296D"/>
    <w:rsid w:val="00702194"/>
    <w:rsid w:val="007038AA"/>
    <w:rsid w:val="007104FE"/>
    <w:rsid w:val="007132E3"/>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A541B"/>
    <w:rsid w:val="008D2E08"/>
    <w:rsid w:val="008D4010"/>
    <w:rsid w:val="008E29FA"/>
    <w:rsid w:val="00903F11"/>
    <w:rsid w:val="009148DC"/>
    <w:rsid w:val="009328E2"/>
    <w:rsid w:val="00975B8E"/>
    <w:rsid w:val="00976663"/>
    <w:rsid w:val="009802B0"/>
    <w:rsid w:val="009836AD"/>
    <w:rsid w:val="009950CD"/>
    <w:rsid w:val="009B5BA4"/>
    <w:rsid w:val="009C0555"/>
    <w:rsid w:val="009D08BE"/>
    <w:rsid w:val="009D61A9"/>
    <w:rsid w:val="009F0F34"/>
    <w:rsid w:val="009F5FC7"/>
    <w:rsid w:val="00A01765"/>
    <w:rsid w:val="00A16A4F"/>
    <w:rsid w:val="00A23525"/>
    <w:rsid w:val="00A42AF7"/>
    <w:rsid w:val="00A47E56"/>
    <w:rsid w:val="00A57532"/>
    <w:rsid w:val="00A63A0C"/>
    <w:rsid w:val="00A6782B"/>
    <w:rsid w:val="00A71D3D"/>
    <w:rsid w:val="00A8694A"/>
    <w:rsid w:val="00A87919"/>
    <w:rsid w:val="00AD2D29"/>
    <w:rsid w:val="00AD3405"/>
    <w:rsid w:val="00AE115D"/>
    <w:rsid w:val="00B03F05"/>
    <w:rsid w:val="00B26578"/>
    <w:rsid w:val="00B3618A"/>
    <w:rsid w:val="00B40C59"/>
    <w:rsid w:val="00B541AA"/>
    <w:rsid w:val="00B74EAB"/>
    <w:rsid w:val="00B74EC8"/>
    <w:rsid w:val="00B76DAC"/>
    <w:rsid w:val="00B916D9"/>
    <w:rsid w:val="00B978B3"/>
    <w:rsid w:val="00BC2ED0"/>
    <w:rsid w:val="00BE65D1"/>
    <w:rsid w:val="00BF6C18"/>
    <w:rsid w:val="00BF6FE4"/>
    <w:rsid w:val="00C15D83"/>
    <w:rsid w:val="00C4181B"/>
    <w:rsid w:val="00C45825"/>
    <w:rsid w:val="00C5241F"/>
    <w:rsid w:val="00C540C3"/>
    <w:rsid w:val="00C8750E"/>
    <w:rsid w:val="00CB3BC5"/>
    <w:rsid w:val="00CB51ED"/>
    <w:rsid w:val="00CB644A"/>
    <w:rsid w:val="00CC1E0E"/>
    <w:rsid w:val="00CD303D"/>
    <w:rsid w:val="00CD4E48"/>
    <w:rsid w:val="00CE2B2F"/>
    <w:rsid w:val="00CE592F"/>
    <w:rsid w:val="00CE69EF"/>
    <w:rsid w:val="00CF7AEB"/>
    <w:rsid w:val="00D12395"/>
    <w:rsid w:val="00D13BEF"/>
    <w:rsid w:val="00D26A68"/>
    <w:rsid w:val="00D37D47"/>
    <w:rsid w:val="00D41525"/>
    <w:rsid w:val="00D74549"/>
    <w:rsid w:val="00D7482C"/>
    <w:rsid w:val="00D9516B"/>
    <w:rsid w:val="00DA0F10"/>
    <w:rsid w:val="00DA163A"/>
    <w:rsid w:val="00DB39E1"/>
    <w:rsid w:val="00DB4026"/>
    <w:rsid w:val="00DB710F"/>
    <w:rsid w:val="00DC47CA"/>
    <w:rsid w:val="00DD4B22"/>
    <w:rsid w:val="00DE05FC"/>
    <w:rsid w:val="00DF0E29"/>
    <w:rsid w:val="00E14FD5"/>
    <w:rsid w:val="00E21725"/>
    <w:rsid w:val="00E24B4E"/>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9EED-C054-45D2-83A6-BE890609933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C760FE90-11C5-4144-9DFB-807F26584133}">
  <ds:schemaRefs>
    <ds:schemaRef ds:uri="http://schemas.microsoft.com/sharepoint/v3/contenttype/forms"/>
  </ds:schemaRefs>
</ds:datastoreItem>
</file>

<file path=customXml/itemProps3.xml><?xml version="1.0" encoding="utf-8"?>
<ds:datastoreItem xmlns:ds="http://schemas.openxmlformats.org/officeDocument/2006/customXml" ds:itemID="{1B273FD1-DAC3-4EBF-BFDC-DCC7DAD89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5129</Words>
  <Characters>35296</Characters>
  <Application>Microsoft Office Word</Application>
  <DocSecurity>0</DocSecurity>
  <Lines>294</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Höfler, Stefanie</cp:lastModifiedBy>
  <cp:revision>2</cp:revision>
  <cp:lastPrinted>2023-07-07T08:13:00Z</cp:lastPrinted>
  <dcterms:created xsi:type="dcterms:W3CDTF">2024-02-19T13:31:00Z</dcterms:created>
  <dcterms:modified xsi:type="dcterms:W3CDTF">2024-02-19T13:31:00Z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