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E1F15" w14:textId="77777777" w:rsidR="0040131F" w:rsidRDefault="0040131F">
      <w:pPr>
        <w:jc w:val="center"/>
        <w:rPr>
          <w:b/>
          <w:bCs/>
          <w:sz w:val="56"/>
          <w:szCs w:val="56"/>
        </w:rPr>
      </w:pPr>
    </w:p>
    <w:p w14:paraId="71AB4949" w14:textId="77777777" w:rsidR="0040131F" w:rsidRDefault="0040131F">
      <w:pPr>
        <w:jc w:val="center"/>
        <w:rPr>
          <w:b/>
          <w:bCs/>
          <w:sz w:val="56"/>
          <w:szCs w:val="56"/>
        </w:rPr>
      </w:pPr>
    </w:p>
    <w:p w14:paraId="53275B7F" w14:textId="77777777" w:rsidR="0040131F" w:rsidRDefault="0040131F">
      <w:pPr>
        <w:jc w:val="center"/>
        <w:rPr>
          <w:b/>
          <w:bCs/>
          <w:sz w:val="56"/>
          <w:szCs w:val="56"/>
        </w:rPr>
      </w:pPr>
    </w:p>
    <w:p w14:paraId="27EDF938" w14:textId="1795AC65" w:rsidR="0040131F" w:rsidRDefault="00412B90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 </w:t>
      </w:r>
      <w:r w:rsidR="00C42069">
        <w:rPr>
          <w:b/>
          <w:bCs/>
          <w:sz w:val="56"/>
          <w:szCs w:val="56"/>
        </w:rPr>
        <w:t xml:space="preserve">Leitlinie zu </w:t>
      </w:r>
      <w:r>
        <w:rPr>
          <w:b/>
          <w:bCs/>
          <w:sz w:val="56"/>
          <w:szCs w:val="56"/>
        </w:rPr>
        <w:t>Datenschutz- und Informationssicherheit</w:t>
      </w:r>
    </w:p>
    <w:p w14:paraId="6F7EAA44" w14:textId="77777777" w:rsidR="0040131F" w:rsidRDefault="0040131F">
      <w:pPr>
        <w:jc w:val="center"/>
        <w:rPr>
          <w:b/>
          <w:bCs/>
          <w:i/>
          <w:iCs/>
          <w:sz w:val="28"/>
          <w:szCs w:val="28"/>
        </w:rPr>
      </w:pPr>
    </w:p>
    <w:p w14:paraId="5AEA0B42" w14:textId="77777777" w:rsidR="0040131F" w:rsidRDefault="0040131F">
      <w:pPr>
        <w:pStyle w:val="Absatz1"/>
      </w:pPr>
    </w:p>
    <w:p w14:paraId="5FBECE0C" w14:textId="77777777" w:rsidR="0040131F" w:rsidRDefault="0040131F"/>
    <w:p w14:paraId="35F391DB" w14:textId="77777777" w:rsidR="0040131F" w:rsidRDefault="0040131F"/>
    <w:p w14:paraId="5C2F3CD3" w14:textId="77777777" w:rsidR="0040131F" w:rsidRDefault="00412B90">
      <w:r>
        <w:rPr>
          <w:rFonts w:ascii="Arial Unicode MS" w:eastAsia="Arial Unicode MS" w:hAnsi="Arial Unicode MS" w:cs="Arial Unicode MS"/>
        </w:rPr>
        <w:br w:type="page"/>
      </w:r>
    </w:p>
    <w:p w14:paraId="1B3D4252" w14:textId="77777777" w:rsidR="0040131F" w:rsidRDefault="0040131F"/>
    <w:p w14:paraId="18260B33" w14:textId="77777777" w:rsidR="0040131F" w:rsidRDefault="0040131F"/>
    <w:p w14:paraId="06885AFA" w14:textId="77777777" w:rsidR="0040131F" w:rsidRDefault="0040131F"/>
    <w:p w14:paraId="3816EC2F" w14:textId="77777777" w:rsidR="0040131F" w:rsidRDefault="0040131F"/>
    <w:p w14:paraId="626F85DD" w14:textId="77777777" w:rsidR="0040131F" w:rsidRDefault="00412B90">
      <w:pPr>
        <w:pStyle w:val="berschrift3"/>
        <w:ind w:left="0" w:firstLine="0"/>
      </w:pPr>
      <w:bookmarkStart w:id="0" w:name="_Toc"/>
      <w:r>
        <w:t>Änderungshistorie</w:t>
      </w:r>
      <w:bookmarkEnd w:id="0"/>
    </w:p>
    <w:p w14:paraId="6B6F515D" w14:textId="77777777" w:rsidR="0040131F" w:rsidRDefault="0040131F"/>
    <w:tbl>
      <w:tblPr>
        <w:tblStyle w:val="TableNormal"/>
        <w:tblW w:w="8831" w:type="dxa"/>
        <w:tblInd w:w="1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71"/>
        <w:gridCol w:w="1338"/>
        <w:gridCol w:w="1605"/>
        <w:gridCol w:w="4817"/>
      </w:tblGrid>
      <w:tr w:rsidR="0040131F" w14:paraId="7CC6E756" w14:textId="77777777">
        <w:trPr>
          <w:trHeight w:val="266"/>
        </w:trPr>
        <w:tc>
          <w:tcPr>
            <w:tcW w:w="1071" w:type="dxa"/>
            <w:tcBorders>
              <w:top w:val="nil"/>
              <w:left w:val="nil"/>
              <w:bottom w:val="single" w:sz="2" w:space="0" w:color="9CC2E5"/>
              <w:right w:val="single" w:sz="2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15413" w14:textId="77777777" w:rsidR="0040131F" w:rsidRDefault="00412B90">
            <w:r>
              <w:rPr>
                <w:b/>
                <w:bCs/>
              </w:rPr>
              <w:t>Version</w:t>
            </w:r>
          </w:p>
        </w:tc>
        <w:tc>
          <w:tcPr>
            <w:tcW w:w="1338" w:type="dxa"/>
            <w:tcBorders>
              <w:top w:val="nil"/>
              <w:left w:val="single" w:sz="2" w:space="0" w:color="9CC2E5"/>
              <w:bottom w:val="single" w:sz="2" w:space="0" w:color="9CC2E5"/>
              <w:right w:val="single" w:sz="2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316F8" w14:textId="77777777" w:rsidR="0040131F" w:rsidRDefault="00412B90">
            <w:r>
              <w:rPr>
                <w:b/>
                <w:bCs/>
              </w:rPr>
              <w:t>Datum</w:t>
            </w:r>
          </w:p>
        </w:tc>
        <w:tc>
          <w:tcPr>
            <w:tcW w:w="1605" w:type="dxa"/>
            <w:tcBorders>
              <w:top w:val="nil"/>
              <w:left w:val="single" w:sz="2" w:space="0" w:color="9CC2E5"/>
              <w:bottom w:val="single" w:sz="2" w:space="0" w:color="9CC2E5"/>
              <w:right w:val="single" w:sz="2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51F88" w14:textId="77777777" w:rsidR="0040131F" w:rsidRDefault="00412B90">
            <w:r>
              <w:rPr>
                <w:b/>
                <w:bCs/>
              </w:rPr>
              <w:t>Autor</w:t>
            </w:r>
          </w:p>
        </w:tc>
        <w:tc>
          <w:tcPr>
            <w:tcW w:w="4817" w:type="dxa"/>
            <w:tcBorders>
              <w:top w:val="nil"/>
              <w:left w:val="single" w:sz="2" w:space="0" w:color="9CC2E5"/>
              <w:bottom w:val="single" w:sz="2" w:space="0" w:color="9CC2E5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6C6A" w14:textId="77777777" w:rsidR="0040131F" w:rsidRDefault="00412B90">
            <w:r>
              <w:rPr>
                <w:b/>
                <w:bCs/>
              </w:rPr>
              <w:t>Änderungen</w:t>
            </w:r>
          </w:p>
        </w:tc>
      </w:tr>
      <w:tr w:rsidR="0040131F" w14:paraId="2457819A" w14:textId="77777777">
        <w:trPr>
          <w:trHeight w:val="259"/>
        </w:trPr>
        <w:tc>
          <w:tcPr>
            <w:tcW w:w="1071" w:type="dxa"/>
            <w:tcBorders>
              <w:top w:val="single" w:sz="2" w:space="0" w:color="9CC2E5"/>
              <w:left w:val="nil"/>
              <w:bottom w:val="single" w:sz="2" w:space="0" w:color="9CC2E5"/>
              <w:right w:val="single" w:sz="2" w:space="0" w:color="9CC2E5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5BD5C" w14:textId="77777777" w:rsidR="0040131F" w:rsidRDefault="00412B90">
            <w:r>
              <w:rPr>
                <w:b/>
                <w:bCs/>
              </w:rPr>
              <w:t>0.1</w:t>
            </w:r>
          </w:p>
        </w:tc>
        <w:tc>
          <w:tcPr>
            <w:tcW w:w="1338" w:type="dxa"/>
            <w:tcBorders>
              <w:top w:val="single" w:sz="2" w:space="0" w:color="9CC2E5"/>
              <w:left w:val="single" w:sz="2" w:space="0" w:color="9CC2E5"/>
              <w:bottom w:val="single" w:sz="2" w:space="0" w:color="9CC2E5"/>
              <w:right w:val="single" w:sz="2" w:space="0" w:color="9CC2E5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5AA5" w14:textId="77777777" w:rsidR="0040131F" w:rsidRDefault="00412B90">
            <w:r>
              <w:t>09.05.0218</w:t>
            </w:r>
          </w:p>
        </w:tc>
        <w:tc>
          <w:tcPr>
            <w:tcW w:w="1605" w:type="dxa"/>
            <w:tcBorders>
              <w:top w:val="single" w:sz="2" w:space="0" w:color="9CC2E5"/>
              <w:left w:val="single" w:sz="2" w:space="0" w:color="9CC2E5"/>
              <w:bottom w:val="single" w:sz="2" w:space="0" w:color="9CC2E5"/>
              <w:right w:val="single" w:sz="2" w:space="0" w:color="9CC2E5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5F42" w14:textId="77777777" w:rsidR="0040131F" w:rsidRDefault="00412B90">
            <w:r>
              <w:t>S. Paulus</w:t>
            </w:r>
          </w:p>
        </w:tc>
        <w:tc>
          <w:tcPr>
            <w:tcW w:w="4817" w:type="dxa"/>
            <w:tcBorders>
              <w:top w:val="single" w:sz="2" w:space="0" w:color="9CC2E5"/>
              <w:left w:val="single" w:sz="2" w:space="0" w:color="9CC2E5"/>
              <w:bottom w:val="single" w:sz="2" w:space="0" w:color="9CC2E5"/>
              <w:right w:val="nil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B2F6F" w14:textId="77777777" w:rsidR="0040131F" w:rsidRDefault="00412B90">
            <w:r>
              <w:t>Initiale Erstellung</w:t>
            </w:r>
          </w:p>
        </w:tc>
      </w:tr>
      <w:tr w:rsidR="00C42069" w14:paraId="7108C836" w14:textId="77777777">
        <w:trPr>
          <w:trHeight w:val="259"/>
        </w:trPr>
        <w:tc>
          <w:tcPr>
            <w:tcW w:w="1071" w:type="dxa"/>
            <w:tcBorders>
              <w:top w:val="single" w:sz="2" w:space="0" w:color="9CC2E5"/>
              <w:left w:val="nil"/>
              <w:bottom w:val="single" w:sz="2" w:space="0" w:color="9CC2E5"/>
              <w:right w:val="single" w:sz="2" w:space="0" w:color="9CC2E5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38228" w14:textId="77777777" w:rsidR="00C42069" w:rsidRDefault="00C42069">
            <w:pPr>
              <w:rPr>
                <w:b/>
                <w:bCs/>
              </w:rPr>
            </w:pPr>
          </w:p>
        </w:tc>
        <w:tc>
          <w:tcPr>
            <w:tcW w:w="1338" w:type="dxa"/>
            <w:tcBorders>
              <w:top w:val="single" w:sz="2" w:space="0" w:color="9CC2E5"/>
              <w:left w:val="single" w:sz="2" w:space="0" w:color="9CC2E5"/>
              <w:bottom w:val="single" w:sz="2" w:space="0" w:color="9CC2E5"/>
              <w:right w:val="single" w:sz="2" w:space="0" w:color="9CC2E5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5216F" w14:textId="77777777" w:rsidR="00C42069" w:rsidRDefault="00C42069"/>
        </w:tc>
        <w:tc>
          <w:tcPr>
            <w:tcW w:w="1605" w:type="dxa"/>
            <w:tcBorders>
              <w:top w:val="single" w:sz="2" w:space="0" w:color="9CC2E5"/>
              <w:left w:val="single" w:sz="2" w:space="0" w:color="9CC2E5"/>
              <w:bottom w:val="single" w:sz="2" w:space="0" w:color="9CC2E5"/>
              <w:right w:val="single" w:sz="2" w:space="0" w:color="9CC2E5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5E31" w14:textId="77777777" w:rsidR="00C42069" w:rsidRDefault="00C42069"/>
        </w:tc>
        <w:tc>
          <w:tcPr>
            <w:tcW w:w="4817" w:type="dxa"/>
            <w:tcBorders>
              <w:top w:val="single" w:sz="2" w:space="0" w:color="9CC2E5"/>
              <w:left w:val="single" w:sz="2" w:space="0" w:color="9CC2E5"/>
              <w:bottom w:val="single" w:sz="2" w:space="0" w:color="9CC2E5"/>
              <w:right w:val="nil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A407C" w14:textId="77777777" w:rsidR="00C42069" w:rsidRDefault="00C42069"/>
        </w:tc>
      </w:tr>
    </w:tbl>
    <w:p w14:paraId="7098FF75" w14:textId="77777777" w:rsidR="0040131F" w:rsidRDefault="0040131F">
      <w:pPr>
        <w:widowControl w:val="0"/>
        <w:ind w:left="6" w:hanging="6"/>
      </w:pPr>
    </w:p>
    <w:p w14:paraId="388D2D48" w14:textId="77777777" w:rsidR="0040131F" w:rsidRDefault="0040131F">
      <w:pPr>
        <w:widowControl w:val="0"/>
        <w:ind w:left="216" w:hanging="216"/>
      </w:pPr>
    </w:p>
    <w:p w14:paraId="1B0EEDB6" w14:textId="77777777" w:rsidR="0040131F" w:rsidRDefault="0040131F">
      <w:pPr>
        <w:widowControl w:val="0"/>
        <w:ind w:left="108" w:hanging="108"/>
      </w:pPr>
    </w:p>
    <w:p w14:paraId="26C22EB1" w14:textId="77777777" w:rsidR="0040131F" w:rsidRDefault="0040131F">
      <w:pPr>
        <w:widowControl w:val="0"/>
      </w:pPr>
    </w:p>
    <w:p w14:paraId="02861266" w14:textId="77777777" w:rsidR="0040131F" w:rsidRDefault="0040131F"/>
    <w:p w14:paraId="6C7C7B37" w14:textId="77777777" w:rsidR="0040131F" w:rsidRDefault="0040131F"/>
    <w:p w14:paraId="7E8FD49B" w14:textId="77777777" w:rsidR="0040131F" w:rsidRDefault="0040131F"/>
    <w:p w14:paraId="6EDC372A" w14:textId="77777777" w:rsidR="0040131F" w:rsidRDefault="0040131F"/>
    <w:p w14:paraId="113D4604" w14:textId="77777777" w:rsidR="0040131F" w:rsidRDefault="0040131F"/>
    <w:p w14:paraId="76B3AF63" w14:textId="77777777" w:rsidR="0040131F" w:rsidRDefault="0040131F"/>
    <w:p w14:paraId="665C620C" w14:textId="77777777" w:rsidR="0040131F" w:rsidRDefault="00412B90">
      <w:pPr>
        <w:pStyle w:val="berschrift3"/>
        <w:ind w:left="0" w:firstLine="0"/>
      </w:pPr>
      <w:bookmarkStart w:id="1" w:name="_Toc1"/>
      <w:r>
        <w:t>Inhaltsverzeichnis</w:t>
      </w:r>
      <w:bookmarkEnd w:id="1"/>
    </w:p>
    <w:p w14:paraId="012A5495" w14:textId="77777777" w:rsidR="0040131F" w:rsidRDefault="0040131F"/>
    <w:p w14:paraId="4FFB9306" w14:textId="77777777" w:rsidR="0040131F" w:rsidRDefault="00412B90">
      <w:r>
        <w:fldChar w:fldCharType="begin"/>
      </w:r>
      <w:r>
        <w:instrText xml:space="preserve"> TOC \t "heading 1, 1,heading 2, 2,heading 3, 3"</w:instrText>
      </w:r>
      <w:r>
        <w:fldChar w:fldCharType="separate"/>
      </w:r>
    </w:p>
    <w:p w14:paraId="01441E2F" w14:textId="77777777" w:rsidR="0040131F" w:rsidRDefault="00412B90">
      <w:pPr>
        <w:pStyle w:val="Verzeichnis3"/>
      </w:pPr>
      <w:r>
        <w:rPr>
          <w:rFonts w:eastAsia="Arial Unicode MS" w:cs="Arial Unicode MS"/>
        </w:rPr>
        <w:t>Änderungshistorie</w:t>
      </w:r>
      <w:r>
        <w:rPr>
          <w:rFonts w:eastAsia="Arial Unicode MS" w:cs="Arial Unicode MS"/>
        </w:rPr>
        <w:tab/>
      </w:r>
      <w:r>
        <w:fldChar w:fldCharType="begin"/>
      </w:r>
      <w:r>
        <w:instrText xml:space="preserve"> PAGEREF _Toc \h </w:instrText>
      </w:r>
      <w:r>
        <w:fldChar w:fldCharType="separate"/>
      </w:r>
      <w:r>
        <w:rPr>
          <w:rFonts w:eastAsia="Arial Unicode MS" w:cs="Arial Unicode MS"/>
        </w:rPr>
        <w:t>2</w:t>
      </w:r>
      <w:r>
        <w:fldChar w:fldCharType="end"/>
      </w:r>
    </w:p>
    <w:p w14:paraId="2D469737" w14:textId="77777777" w:rsidR="0040131F" w:rsidRDefault="00412B90">
      <w:pPr>
        <w:pStyle w:val="Verzeichnis3"/>
      </w:pPr>
      <w:r>
        <w:rPr>
          <w:rFonts w:eastAsia="Arial Unicode MS" w:cs="Arial Unicode MS"/>
        </w:rPr>
        <w:t>Inhaltsverzeichnis</w:t>
      </w:r>
      <w:r>
        <w:rPr>
          <w:rFonts w:eastAsia="Arial Unicode MS" w:cs="Arial Unicode MS"/>
        </w:rPr>
        <w:tab/>
      </w:r>
      <w:r>
        <w:fldChar w:fldCharType="begin"/>
      </w:r>
      <w:r>
        <w:instrText xml:space="preserve"> PAGEREF _Toc1 \h </w:instrText>
      </w:r>
      <w:r>
        <w:fldChar w:fldCharType="separate"/>
      </w:r>
      <w:r>
        <w:rPr>
          <w:rFonts w:eastAsia="Arial Unicode MS" w:cs="Arial Unicode MS"/>
        </w:rPr>
        <w:t>2</w:t>
      </w:r>
      <w:r>
        <w:fldChar w:fldCharType="end"/>
      </w:r>
    </w:p>
    <w:p w14:paraId="0823DDEB" w14:textId="77777777" w:rsidR="0040131F" w:rsidRDefault="00412B90">
      <w:pPr>
        <w:pStyle w:val="Verzeichnis1"/>
      </w:pPr>
      <w:r>
        <w:rPr>
          <w:rFonts w:eastAsia="Arial Unicode MS" w:cs="Arial Unicode MS"/>
        </w:rPr>
        <w:t>§1 Zweck und Ziele</w:t>
      </w:r>
      <w:r>
        <w:rPr>
          <w:rFonts w:eastAsia="Arial Unicode MS" w:cs="Arial Unicode MS"/>
        </w:rPr>
        <w:tab/>
      </w:r>
      <w:r>
        <w:fldChar w:fldCharType="begin"/>
      </w:r>
      <w:r>
        <w:instrText xml:space="preserve"> PAGEREF _Toc2 \h </w:instrText>
      </w:r>
      <w:r>
        <w:fldChar w:fldCharType="separate"/>
      </w:r>
      <w:r>
        <w:rPr>
          <w:rFonts w:eastAsia="Arial Unicode MS" w:cs="Arial Unicode MS"/>
        </w:rPr>
        <w:t>3</w:t>
      </w:r>
      <w:r>
        <w:fldChar w:fldCharType="end"/>
      </w:r>
    </w:p>
    <w:p w14:paraId="6305438B" w14:textId="77777777" w:rsidR="0040131F" w:rsidRDefault="00412B90">
      <w:pPr>
        <w:pStyle w:val="Verzeichnis1"/>
      </w:pPr>
      <w:r>
        <w:rPr>
          <w:rFonts w:eastAsia="Arial Unicode MS" w:cs="Arial Unicode MS"/>
        </w:rPr>
        <w:t>§2 Verbindliche Aktivitäten</w:t>
      </w:r>
      <w:r>
        <w:rPr>
          <w:rFonts w:eastAsia="Arial Unicode MS" w:cs="Arial Unicode MS"/>
        </w:rPr>
        <w:tab/>
      </w:r>
      <w:r>
        <w:fldChar w:fldCharType="begin"/>
      </w:r>
      <w:r>
        <w:instrText xml:space="preserve"> PAGEREF _Toc3 \h </w:instrText>
      </w:r>
      <w:r>
        <w:fldChar w:fldCharType="separate"/>
      </w:r>
      <w:r>
        <w:rPr>
          <w:rFonts w:eastAsia="Arial Unicode MS" w:cs="Arial Unicode MS"/>
        </w:rPr>
        <w:t>3</w:t>
      </w:r>
      <w:r>
        <w:fldChar w:fldCharType="end"/>
      </w:r>
    </w:p>
    <w:p w14:paraId="5BFD1269" w14:textId="77777777" w:rsidR="0040131F" w:rsidRDefault="00412B90">
      <w:pPr>
        <w:pStyle w:val="Verzeichnis1"/>
      </w:pPr>
      <w:r>
        <w:rPr>
          <w:rFonts w:eastAsia="Arial Unicode MS" w:cs="Arial Unicode MS"/>
        </w:rPr>
        <w:t>§3 Sicherstellung der nachhaltigen Wirksamkeit des Management-Systems</w:t>
      </w:r>
      <w:r>
        <w:rPr>
          <w:rFonts w:eastAsia="Arial Unicode MS" w:cs="Arial Unicode MS"/>
        </w:rPr>
        <w:tab/>
      </w:r>
      <w:r>
        <w:fldChar w:fldCharType="begin"/>
      </w:r>
      <w:r>
        <w:instrText xml:space="preserve"> PAGEREF _Toc4 \h </w:instrText>
      </w:r>
      <w:r>
        <w:fldChar w:fldCharType="separate"/>
      </w:r>
      <w:r>
        <w:rPr>
          <w:rFonts w:eastAsia="Arial Unicode MS" w:cs="Arial Unicode MS"/>
        </w:rPr>
        <w:t>4</w:t>
      </w:r>
      <w:r>
        <w:fldChar w:fldCharType="end"/>
      </w:r>
    </w:p>
    <w:p w14:paraId="16B81F50" w14:textId="77777777" w:rsidR="0040131F" w:rsidRDefault="00412B90">
      <w:pPr>
        <w:pStyle w:val="Verzeichnis1"/>
      </w:pPr>
      <w:r>
        <w:rPr>
          <w:rFonts w:eastAsia="Arial Unicode MS" w:cs="Arial Unicode MS"/>
        </w:rPr>
        <w:t>§4 Rollen und Verantwortlichkeiten</w:t>
      </w:r>
      <w:r>
        <w:rPr>
          <w:rFonts w:eastAsia="Arial Unicode MS" w:cs="Arial Unicode MS"/>
        </w:rPr>
        <w:tab/>
      </w:r>
      <w:r>
        <w:fldChar w:fldCharType="begin"/>
      </w:r>
      <w:r>
        <w:instrText xml:space="preserve"> PAGEREF _Toc5 \h </w:instrText>
      </w:r>
      <w:r>
        <w:fldChar w:fldCharType="separate"/>
      </w:r>
      <w:r>
        <w:rPr>
          <w:rFonts w:eastAsia="Arial Unicode MS" w:cs="Arial Unicode MS"/>
        </w:rPr>
        <w:t>4</w:t>
      </w:r>
      <w:r>
        <w:fldChar w:fldCharType="end"/>
      </w:r>
    </w:p>
    <w:p w14:paraId="3095F962" w14:textId="7FB3639F" w:rsidR="0040131F" w:rsidRDefault="00412B90">
      <w:pPr>
        <w:pStyle w:val="Verzeichnis1"/>
      </w:pPr>
      <w:r>
        <w:rPr>
          <w:rFonts w:eastAsia="Arial Unicode MS" w:cs="Arial Unicode MS"/>
        </w:rPr>
        <w:t xml:space="preserve">§5 </w:t>
      </w:r>
      <w:r w:rsidR="00FE7826">
        <w:rPr>
          <w:rFonts w:eastAsia="Arial Unicode MS" w:cs="Arial Unicode MS"/>
        </w:rPr>
        <w:t>Verstöße</w:t>
      </w:r>
      <w:r>
        <w:rPr>
          <w:rFonts w:eastAsia="Arial Unicode MS" w:cs="Arial Unicode MS"/>
        </w:rPr>
        <w:tab/>
      </w:r>
      <w:r>
        <w:fldChar w:fldCharType="begin"/>
      </w:r>
      <w:r>
        <w:instrText xml:space="preserve"> PAGEREF _Toc6 \h </w:instrText>
      </w:r>
      <w:r>
        <w:fldChar w:fldCharType="separate"/>
      </w:r>
      <w:r>
        <w:rPr>
          <w:rFonts w:eastAsia="Arial Unicode MS" w:cs="Arial Unicode MS"/>
        </w:rPr>
        <w:t>5</w:t>
      </w:r>
      <w:r>
        <w:fldChar w:fldCharType="end"/>
      </w:r>
    </w:p>
    <w:p w14:paraId="048CFCB9" w14:textId="77777777" w:rsidR="0040131F" w:rsidRDefault="00412B90">
      <w:pPr>
        <w:pStyle w:val="Verzeichnis1"/>
      </w:pPr>
      <w:r>
        <w:rPr>
          <w:rFonts w:eastAsia="Arial Unicode MS" w:cs="Arial Unicode MS"/>
        </w:rPr>
        <w:t>§6 Weitergehende Regelungen</w:t>
      </w:r>
      <w:r>
        <w:rPr>
          <w:rFonts w:eastAsia="Arial Unicode MS" w:cs="Arial Unicode MS"/>
        </w:rPr>
        <w:tab/>
      </w:r>
      <w:r>
        <w:fldChar w:fldCharType="begin"/>
      </w:r>
      <w:r>
        <w:instrText xml:space="preserve"> PAGEREF _Toc7 \h </w:instrText>
      </w:r>
      <w:r>
        <w:fldChar w:fldCharType="separate"/>
      </w:r>
      <w:r>
        <w:rPr>
          <w:rFonts w:eastAsia="Arial Unicode MS" w:cs="Arial Unicode MS"/>
        </w:rPr>
        <w:t>5</w:t>
      </w:r>
      <w:r>
        <w:fldChar w:fldCharType="end"/>
      </w:r>
    </w:p>
    <w:p w14:paraId="2FC7E9B3" w14:textId="77777777" w:rsidR="0040131F" w:rsidRDefault="00412B90">
      <w:pPr>
        <w:pStyle w:val="Verzeichnis1"/>
      </w:pPr>
      <w:r>
        <w:rPr>
          <w:rFonts w:eastAsia="Arial Unicode MS" w:cs="Arial Unicode MS"/>
        </w:rPr>
        <w:t>§7 Inkrafttreten</w:t>
      </w:r>
      <w:r>
        <w:rPr>
          <w:rFonts w:eastAsia="Arial Unicode MS" w:cs="Arial Unicode MS"/>
        </w:rPr>
        <w:tab/>
      </w:r>
      <w:r>
        <w:fldChar w:fldCharType="begin"/>
      </w:r>
      <w:r>
        <w:instrText xml:space="preserve"> PAGEREF _Toc8 \h </w:instrText>
      </w:r>
      <w:r>
        <w:fldChar w:fldCharType="separate"/>
      </w:r>
      <w:r>
        <w:rPr>
          <w:rFonts w:eastAsia="Arial Unicode MS" w:cs="Arial Unicode MS"/>
        </w:rPr>
        <w:t>5</w:t>
      </w:r>
      <w:r>
        <w:fldChar w:fldCharType="end"/>
      </w:r>
    </w:p>
    <w:p w14:paraId="4AFE4725" w14:textId="573B870E" w:rsidR="0040131F" w:rsidRDefault="00412B90" w:rsidP="00E03E5F">
      <w:r>
        <w:fldChar w:fldCharType="end"/>
      </w:r>
      <w:r>
        <w:rPr>
          <w:rFonts w:ascii="Arial Unicode MS" w:eastAsia="Arial Unicode MS" w:hAnsi="Arial Unicode MS" w:cs="Arial Unicode MS"/>
        </w:rPr>
        <w:br w:type="page"/>
      </w:r>
    </w:p>
    <w:p w14:paraId="17FC2678" w14:textId="68FA1EE0" w:rsidR="0040131F" w:rsidRDefault="00412B90">
      <w:pPr>
        <w:pStyle w:val="berschrift1"/>
      </w:pPr>
      <w:bookmarkStart w:id="2" w:name="_Toc2"/>
      <w:r>
        <w:lastRenderedPageBreak/>
        <w:t>§1 Zweck und Ziele</w:t>
      </w:r>
      <w:bookmarkEnd w:id="2"/>
    </w:p>
    <w:p w14:paraId="3F5C7CC5" w14:textId="63FF4DAA" w:rsidR="0040131F" w:rsidRDefault="00412B90">
      <w:pPr>
        <w:pStyle w:val="Absatz1"/>
      </w:pPr>
      <w:r>
        <w:t xml:space="preserve">(1) Zweck dieser </w:t>
      </w:r>
      <w:r w:rsidR="00C42069">
        <w:t>Leitlinie</w:t>
      </w:r>
      <w:r>
        <w:t xml:space="preserve"> ist es, Vorgaben an eine gesetzeskonforme und angemessene Steuerung von Datenschutz- und Informationssicherheitsrisiken für die </w:t>
      </w:r>
      <w:r w:rsidR="00C42069" w:rsidRPr="00C42069">
        <w:rPr>
          <w:highlight w:val="yellow"/>
        </w:rPr>
        <w:t>Firma XXX</w:t>
      </w:r>
      <w:r>
        <w:t xml:space="preserve"> zu formulieren, Rollen und Verantwortlichkeiten festzulegen und weitere, mitgeltende Dokumente zu spezifizieren. </w:t>
      </w:r>
    </w:p>
    <w:p w14:paraId="5A2B6DBA" w14:textId="77777777" w:rsidR="0040131F" w:rsidRDefault="00412B90">
      <w:pPr>
        <w:pStyle w:val="Absatz1"/>
      </w:pPr>
      <w:r>
        <w:t>(2) Die Ziele der in diesem Dokument formulierten Vorgaben sind:</w:t>
      </w:r>
    </w:p>
    <w:p w14:paraId="4F1D6272" w14:textId="77777777" w:rsidR="0040131F" w:rsidRDefault="00412B90">
      <w:pPr>
        <w:pStyle w:val="Listenabsatz"/>
        <w:numPr>
          <w:ilvl w:val="1"/>
          <w:numId w:val="2"/>
        </w:numPr>
        <w:spacing w:before="120"/>
      </w:pPr>
      <w:r>
        <w:t>die gesetzeskonforme Verarbeitung von personenbezogenen Daten sicherzustellen,</w:t>
      </w:r>
    </w:p>
    <w:p w14:paraId="35567C24" w14:textId="77777777" w:rsidR="0040131F" w:rsidRDefault="00412B90">
      <w:pPr>
        <w:pStyle w:val="Listenabsatz"/>
        <w:numPr>
          <w:ilvl w:val="1"/>
          <w:numId w:val="2"/>
        </w:numPr>
        <w:spacing w:before="120"/>
      </w:pPr>
      <w:r>
        <w:t xml:space="preserve">die Vertraulichkeit, Integrität und Verfügbarkeit von schützenswerten, durch Verfahren verarbeiteten Informationen sicherzustellen, </w:t>
      </w:r>
    </w:p>
    <w:p w14:paraId="51E54AEB" w14:textId="77777777" w:rsidR="0040131F" w:rsidRDefault="00412B90">
      <w:pPr>
        <w:pStyle w:val="Listenabsatz"/>
        <w:numPr>
          <w:ilvl w:val="1"/>
          <w:numId w:val="2"/>
        </w:numPr>
        <w:spacing w:before="120"/>
      </w:pPr>
      <w:r>
        <w:t xml:space="preserve">die Verfügbarkeit des eigenen Geschäftsbetriebs sicherzustellen und </w:t>
      </w:r>
    </w:p>
    <w:p w14:paraId="6477EB0B" w14:textId="636E4B18" w:rsidR="0040131F" w:rsidRDefault="00412B90">
      <w:pPr>
        <w:pStyle w:val="Absatz1"/>
      </w:pPr>
      <w:r>
        <w:t>negative Auswirkungen auf Dritte zu verhindern.</w:t>
      </w:r>
    </w:p>
    <w:p w14:paraId="10A2199D" w14:textId="11954BE1" w:rsidR="0040131F" w:rsidRDefault="00412B90" w:rsidP="00C42069">
      <w:pPr>
        <w:spacing w:before="120"/>
      </w:pPr>
      <w:r>
        <w:t xml:space="preserve">(3) Hierzu führt die </w:t>
      </w:r>
      <w:r w:rsidR="00C42069" w:rsidRPr="00C42069">
        <w:rPr>
          <w:highlight w:val="yellow"/>
        </w:rPr>
        <w:t>Firma XX</w:t>
      </w:r>
      <w:r>
        <w:t xml:space="preserve"> ein integriertes Datenschutz- und Informationssicherheitsmanagementsystem (DISMS) ein</w:t>
      </w:r>
      <w:r w:rsidR="00C42069">
        <w:t>.</w:t>
      </w:r>
      <w:r>
        <w:t xml:space="preserve"> </w:t>
      </w:r>
    </w:p>
    <w:p w14:paraId="35BD4672" w14:textId="4658E197" w:rsidR="0040131F" w:rsidRDefault="00412B90">
      <w:pPr>
        <w:spacing w:before="120"/>
        <w:rPr>
          <w:rFonts w:ascii="Arial" w:eastAsia="Arial" w:hAnsi="Arial" w:cs="Arial"/>
        </w:rPr>
      </w:pPr>
      <w:r>
        <w:rPr>
          <w:rFonts w:ascii="Arial" w:hAnsi="Arial"/>
        </w:rPr>
        <w:t xml:space="preserve">(4) Diese </w:t>
      </w:r>
      <w:r w:rsidR="00C42069">
        <w:rPr>
          <w:rFonts w:ascii="Arial" w:hAnsi="Arial"/>
        </w:rPr>
        <w:t>Leitlinie ist für alle Beschäftigte</w:t>
      </w:r>
      <w:r>
        <w:rPr>
          <w:rFonts w:ascii="Arial" w:hAnsi="Arial"/>
        </w:rPr>
        <w:t xml:space="preserve"> verbindlich. Sich aus dieser Leitlinie ergebende Anforderungen an Dienstleister oder andere Dritte sind geeignet vertraglich zu regeln.</w:t>
      </w:r>
    </w:p>
    <w:p w14:paraId="394455E9" w14:textId="26F7A387" w:rsidR="0040131F" w:rsidRDefault="00412B90">
      <w:pPr>
        <w:spacing w:before="120"/>
        <w:rPr>
          <w:rFonts w:ascii="Arial" w:eastAsia="Arial" w:hAnsi="Arial" w:cs="Arial"/>
        </w:rPr>
      </w:pPr>
      <w:r>
        <w:rPr>
          <w:rFonts w:ascii="Arial" w:hAnsi="Arial"/>
        </w:rPr>
        <w:t xml:space="preserve">(5) Diese </w:t>
      </w:r>
      <w:r w:rsidR="00C42069">
        <w:rPr>
          <w:rFonts w:ascii="Arial" w:hAnsi="Arial"/>
        </w:rPr>
        <w:t>Leitlinie</w:t>
      </w:r>
      <w:r>
        <w:rPr>
          <w:rFonts w:ascii="Arial" w:hAnsi="Arial"/>
        </w:rPr>
        <w:t xml:space="preserve"> regelt den datenschutzkonformen und sicheren Umgang mit Informationen in jedweder Erscheinungsform (digital, in Papierform, gesprochenes Wort etc.). </w:t>
      </w:r>
    </w:p>
    <w:p w14:paraId="38B194E4" w14:textId="338AD6BF" w:rsidR="0040131F" w:rsidRPr="00E03E5F" w:rsidRDefault="00412B90" w:rsidP="00E03E5F">
      <w:pPr>
        <w:pStyle w:val="berschrift1"/>
        <w:spacing w:before="360"/>
      </w:pPr>
      <w:bookmarkStart w:id="3" w:name="_Toc3"/>
      <w:r>
        <w:t xml:space="preserve">§2 </w:t>
      </w:r>
      <w:r w:rsidR="00C42069">
        <w:t>Verbindliche</w:t>
      </w:r>
      <w:r>
        <w:t xml:space="preserve"> Aktivitäten</w:t>
      </w:r>
      <w:bookmarkEnd w:id="3"/>
    </w:p>
    <w:p w14:paraId="0FA9AF1F" w14:textId="7F8A756E" w:rsidR="0040131F" w:rsidRDefault="00C42069">
      <w:pPr>
        <w:pStyle w:val="Absatz1"/>
      </w:pPr>
      <w:r>
        <w:t xml:space="preserve">(1) Die </w:t>
      </w:r>
      <w:r w:rsidRPr="00C42069">
        <w:rPr>
          <w:highlight w:val="yellow"/>
        </w:rPr>
        <w:t>Firma XX</w:t>
      </w:r>
      <w:r>
        <w:t xml:space="preserve"> erstellt und pflegt</w:t>
      </w:r>
      <w:r w:rsidR="00412B90">
        <w:t xml:space="preserve"> ein Verzeichnis der Verfahren, welche personenbezogene Daten verarbeiten. Dabei werden Löschfristen für alle personenbezogenen Daten definiert; die gesetzlichen Aufbewahrungsfristen sind zu beachten. </w:t>
      </w:r>
    </w:p>
    <w:p w14:paraId="4D8DE9CC" w14:textId="4F015348" w:rsidR="0040131F" w:rsidRDefault="00412B90">
      <w:pPr>
        <w:pStyle w:val="Absatz1"/>
      </w:pPr>
      <w:r>
        <w:t xml:space="preserve">(2) Die </w:t>
      </w:r>
      <w:r w:rsidR="00C42069" w:rsidRPr="00C42069">
        <w:rPr>
          <w:highlight w:val="yellow"/>
        </w:rPr>
        <w:t>Firma XX</w:t>
      </w:r>
      <w:r w:rsidR="00C42069">
        <w:t xml:space="preserve"> führt</w:t>
      </w:r>
      <w:r>
        <w:t xml:space="preserve"> eine regelmäßige Risikoanalyse durch, welche die Schutzziele des Datenschutzes und die Risiken für die Informationssicherheit berücksichtigt. Für Verfahren, die sehr hohe Risiken für betroffene Personen aufweisen, ist eine Datenschutz-Folgenabschätzung durchzuführen.</w:t>
      </w:r>
    </w:p>
    <w:p w14:paraId="38A59C47" w14:textId="2F8F8E0A" w:rsidR="0040131F" w:rsidRDefault="00412B90">
      <w:pPr>
        <w:pStyle w:val="Absatz1"/>
      </w:pPr>
      <w:r>
        <w:t xml:space="preserve">(3) Es werden angemessene technische und organisatorische Schutzmaßnahmen eingesetzt, um die Risiken adäquat zu senken. </w:t>
      </w:r>
    </w:p>
    <w:p w14:paraId="11FC7A0F" w14:textId="3148F398" w:rsidR="0040131F" w:rsidRPr="003A2676" w:rsidRDefault="00412B90" w:rsidP="003A2676">
      <w:pPr>
        <w:pStyle w:val="Absatz1"/>
      </w:pPr>
      <w:r>
        <w:t xml:space="preserve">(4) Bei der Verarbeitung von personenbezogenen Daten sind die Informationspflichten zu beachten. </w:t>
      </w:r>
    </w:p>
    <w:p w14:paraId="2B2587A4" w14:textId="7ED0F259" w:rsidR="0040131F" w:rsidRPr="003A2676" w:rsidRDefault="00412B90" w:rsidP="003A2676">
      <w:pPr>
        <w:pStyle w:val="Absatz1"/>
      </w:pPr>
      <w:r w:rsidRPr="003A2676">
        <w:t xml:space="preserve">(5) </w:t>
      </w:r>
      <w:r>
        <w:t xml:space="preserve">Die </w:t>
      </w:r>
      <w:r w:rsidR="00C42069" w:rsidRPr="00C42069">
        <w:rPr>
          <w:highlight w:val="yellow"/>
        </w:rPr>
        <w:t>Firma XX</w:t>
      </w:r>
      <w:r>
        <w:t xml:space="preserve"> setzt geeignete </w:t>
      </w:r>
      <w:r w:rsidR="00C42069">
        <w:t xml:space="preserve">und angemessene </w:t>
      </w:r>
      <w:r>
        <w:t>Erkennungsmaßnahmen ein, um eine Verletzung von Schutzzielen (z.B. durch einen unerlaubten Zugriff auf personenbeziehbare Daten, oder einen Cyber-Angriff) feststellen zu können. Bei Verletzung von Schutzzielen („Vorfällen“) werden die Auswirkungen eingedämmt und es wird unverzüglich wieder ein sicherer Zustand hergestellt.</w:t>
      </w:r>
    </w:p>
    <w:p w14:paraId="59D16E4D" w14:textId="2D85E31C" w:rsidR="0040131F" w:rsidRDefault="00412B90">
      <w:pPr>
        <w:pStyle w:val="Absatz1"/>
      </w:pPr>
      <w:r>
        <w:rPr>
          <w:rFonts w:ascii="Helvetica Neue" w:hAnsi="Helvetica Neue"/>
        </w:rPr>
        <w:t>(6) Es wird e</w:t>
      </w:r>
      <w:r>
        <w:t xml:space="preserve">in Berichtsweg für die Meldung von Datenschutz- und Sicherheitsvorfällen (ggf. auch an externe Interessensgruppen, z.B. Datenschutzbehörden oder Betroffene) eingerichtet. </w:t>
      </w:r>
    </w:p>
    <w:p w14:paraId="52816400" w14:textId="6B60DFE6" w:rsidR="0040131F" w:rsidRDefault="00412B90">
      <w:pPr>
        <w:pStyle w:val="Absatz1"/>
      </w:pPr>
      <w:r>
        <w:t>(7) Es wird eine Kontaktstelle für die Erfüllung der Betroffenenrechte (Transparenz, Herausgabe der Daten, Löschung) eingerichtet.</w:t>
      </w:r>
    </w:p>
    <w:p w14:paraId="594F4FE5" w14:textId="6E5E68EF" w:rsidR="0040131F" w:rsidRDefault="00412B90">
      <w:pPr>
        <w:pStyle w:val="Absatz1"/>
      </w:pPr>
      <w:r>
        <w:t xml:space="preserve">(8) Die Beschäftigten, Professoren und Studierenden werden </w:t>
      </w:r>
      <w:r w:rsidRPr="00C42069">
        <w:rPr>
          <w:color w:val="000000" w:themeColor="text1"/>
          <w:u w:color="FF0000"/>
        </w:rPr>
        <w:t>r</w:t>
      </w:r>
      <w:r>
        <w:t xml:space="preserve">egelmäßig auf ein Datenschutz-konformes und sicheres Verhalten sensibilisiert und geschult. </w:t>
      </w:r>
    </w:p>
    <w:p w14:paraId="188F7190" w14:textId="3735C2AA" w:rsidR="0040131F" w:rsidRDefault="00412B90" w:rsidP="00E03E5F">
      <w:pPr>
        <w:pStyle w:val="berschrift1"/>
        <w:spacing w:before="360"/>
      </w:pPr>
      <w:bookmarkStart w:id="4" w:name="_Toc4"/>
      <w:r>
        <w:lastRenderedPageBreak/>
        <w:t xml:space="preserve">§3 </w:t>
      </w:r>
      <w:r w:rsidR="00E03E5F">
        <w:t>Si</w:t>
      </w:r>
      <w:r>
        <w:t>cherstellung der nachhaltigen Wirksamkeit des Management-Systems</w:t>
      </w:r>
      <w:bookmarkEnd w:id="4"/>
    </w:p>
    <w:p w14:paraId="5204730F" w14:textId="3282EB55" w:rsidR="0040131F" w:rsidRDefault="00412B90">
      <w:pPr>
        <w:pStyle w:val="Absatz1"/>
      </w:pPr>
      <w:r w:rsidRPr="00E03E5F">
        <w:t xml:space="preserve">(1) Die Einhaltung der Vorgaben und die Wirksamkeit der Maßnahmen wird regelmäßig geprüft. Der Grad der Erreichung der Datenschutz- und Sicherheitsziele wird regelmäßig ermittelt. Diese </w:t>
      </w:r>
      <w:r w:rsidR="00C42069">
        <w:t>Leitlinie</w:t>
      </w:r>
      <w:r w:rsidRPr="00E03E5F">
        <w:t xml:space="preserve"> wird regelmäßig auf Aktualität geprüft und ggf. angepasst.</w:t>
      </w:r>
    </w:p>
    <w:p w14:paraId="4B7C044F" w14:textId="514965A3" w:rsidR="00E03E5F" w:rsidRPr="00E03E5F" w:rsidRDefault="00412B90" w:rsidP="00E03E5F">
      <w:pPr>
        <w:pStyle w:val="Absatz1"/>
      </w:pPr>
      <w:r w:rsidRPr="00E03E5F">
        <w:t xml:space="preserve">(2) Die </w:t>
      </w:r>
      <w:r w:rsidR="00C42069">
        <w:t>Geschäftsführung</w:t>
      </w:r>
      <w:r w:rsidRPr="00E03E5F">
        <w:t xml:space="preserve"> ist mindestens jährlich über den aktuellen Status in Bezug auf Datenschutz und Informationssicherheit zu informieren, und hat in der Folge über ggf. erforderliche Anpassungen zu entscheiden. </w:t>
      </w:r>
    </w:p>
    <w:p w14:paraId="19A05B61" w14:textId="460A9CE9" w:rsidR="0040131F" w:rsidRDefault="00412B90" w:rsidP="00E03E5F">
      <w:pPr>
        <w:pStyle w:val="berschrift1"/>
        <w:spacing w:before="360"/>
      </w:pPr>
      <w:bookmarkStart w:id="5" w:name="_Toc5"/>
      <w:r>
        <w:t>§4 Rollen und Verantwortlichkeiten</w:t>
      </w:r>
      <w:bookmarkEnd w:id="5"/>
    </w:p>
    <w:p w14:paraId="559525D9" w14:textId="39803949" w:rsidR="0040131F" w:rsidRPr="005C0311" w:rsidRDefault="00C42069" w:rsidP="00FE7826">
      <w:pPr>
        <w:pStyle w:val="Absatz1"/>
      </w:pPr>
      <w:r>
        <w:t xml:space="preserve">(1) Die Geschäftsführung </w:t>
      </w:r>
      <w:r w:rsidR="00412B90" w:rsidRPr="00E03E5F">
        <w:t>ist für die erfolgreiche Umsetzung des DISMS verantwortlich</w:t>
      </w:r>
      <w:r w:rsidR="005C0311" w:rsidRPr="00E03E5F">
        <w:t>,</w:t>
      </w:r>
      <w:r w:rsidR="00412B90" w:rsidRPr="00E03E5F">
        <w:t xml:space="preserve"> stellt die hierfür erforderlichen personellen, organisatorischen und materiellen Ressourcen berei</w:t>
      </w:r>
      <w:r w:rsidR="005C0311" w:rsidRPr="00E03E5F">
        <w:t>t und beschließt</w:t>
      </w:r>
      <w:r w:rsidR="00412B90" w:rsidRPr="00E03E5F">
        <w:t xml:space="preserve"> weitergehende Regelungen zu den Themen Informationssicherheit und Datenschutz.</w:t>
      </w:r>
    </w:p>
    <w:p w14:paraId="1FB8EE64" w14:textId="0FEBBB39" w:rsidR="0040131F" w:rsidRPr="00FE7826" w:rsidRDefault="00412B90" w:rsidP="00E03E5F">
      <w:pPr>
        <w:pStyle w:val="Absatz1"/>
      </w:pPr>
      <w:r w:rsidRPr="00E03E5F">
        <w:t>(</w:t>
      </w:r>
      <w:r w:rsidR="005C0311" w:rsidRPr="00E03E5F">
        <w:t>2</w:t>
      </w:r>
      <w:r w:rsidRPr="00E03E5F">
        <w:t xml:space="preserve">) Die </w:t>
      </w:r>
      <w:r w:rsidR="00C42069" w:rsidRPr="00C42069">
        <w:rPr>
          <w:highlight w:val="yellow"/>
        </w:rPr>
        <w:t>Abteilungsleiter</w:t>
      </w:r>
      <w:r w:rsidR="00C42069">
        <w:t xml:space="preserve"> </w:t>
      </w:r>
      <w:r w:rsidRPr="00E03E5F">
        <w:t xml:space="preserve">sind dafür verantwortlich, sich über die DISMS-bezogenen Risiken in ihrem Bereich Kenntnis zu verschaffen, deren Steuerung einzuleiten und zu kontrollieren, Datenschutz- und Informationssicherheitsvorfälle zu behandeln sowie Anpassungen umzusetzen.  </w:t>
      </w:r>
    </w:p>
    <w:p w14:paraId="76294C2E" w14:textId="554BDC06" w:rsidR="0040131F" w:rsidRPr="00FE7826" w:rsidRDefault="00412B90" w:rsidP="00E03E5F">
      <w:pPr>
        <w:pStyle w:val="Absatz1"/>
      </w:pPr>
      <w:r w:rsidRPr="00E03E5F">
        <w:t>(</w:t>
      </w:r>
      <w:r w:rsidR="005C0311" w:rsidRPr="00E03E5F">
        <w:t>3</w:t>
      </w:r>
      <w:r w:rsidRPr="00E03E5F">
        <w:t xml:space="preserve">) Die </w:t>
      </w:r>
      <w:r w:rsidR="00C42069" w:rsidRPr="00C42069">
        <w:rPr>
          <w:highlight w:val="yellow"/>
        </w:rPr>
        <w:t>Firma XX</w:t>
      </w:r>
      <w:r w:rsidRPr="00E03E5F">
        <w:t xml:space="preserve"> bestellt einen Datenschutz</w:t>
      </w:r>
      <w:r w:rsidR="00C42069">
        <w:t xml:space="preserve">- (und Informationssicherheits-) </w:t>
      </w:r>
      <w:r w:rsidRPr="00E03E5F">
        <w:t xml:space="preserve">beauftragten. Er wirkt auf die Einhaltung des Datenschutzes hin. Insbesondere überwacht er die Anwendung der Datenverarbeitungsprogramme und informiert, sensibilisiert und berät alle </w:t>
      </w:r>
      <w:r w:rsidR="00C42069">
        <w:t>Mitarbeiter</w:t>
      </w:r>
      <w:r w:rsidRPr="00E03E5F">
        <w:t xml:space="preserve"> zur gesetzeskonformen Verarbeitung von Daten.</w:t>
      </w:r>
      <w:r w:rsidR="00C42069" w:rsidRPr="00C42069">
        <w:t xml:space="preserve"> </w:t>
      </w:r>
      <w:r w:rsidR="00C42069" w:rsidRPr="00E03E5F">
        <w:t>Er erfasst kontinuierlich den Status der Informationssicherheits-Risiken, bewerte</w:t>
      </w:r>
      <w:r w:rsidR="00C42069">
        <w:t xml:space="preserve">t diese und berichtet sie an die Geschäftsleitung. Er unterstützt er die Geschäftsleitung </w:t>
      </w:r>
      <w:r w:rsidR="00C42069" w:rsidRPr="00E03E5F">
        <w:t>bei der Auswahl angemessener Sicherheitsmaßnahmen zur Steuerung der Risiken.</w:t>
      </w:r>
      <w:r w:rsidR="00C42069">
        <w:t xml:space="preserve"> </w:t>
      </w:r>
      <w:r w:rsidR="00C42069" w:rsidRPr="00E03E5F">
        <w:t>Der Informationssicherheitsbeauftragte ist der erste Ansprechpartner bei Sicherheitsvorfällen, unterstützt bei der Behandlung und verfolgt die Abarbeitung.</w:t>
      </w:r>
      <w:r w:rsidRPr="00E03E5F">
        <w:t xml:space="preserve"> Er ist Kontaktstelle für die zuständige Aufsichtsbehörde. Der Datenschutzbeauftragte ist weisungs</w:t>
      </w:r>
      <w:r w:rsidR="00C42069">
        <w:t>frei und berichtet direkt an die Geschäftsführung</w:t>
      </w:r>
      <w:r w:rsidRPr="00E03E5F">
        <w:t>. Ihm werden alle erforderlichen Einrichtungen, Geräte und Mittel zur Verfügung gestellt, die er für die Ausübung seiner Tätigkeit benötigt. Der Datenschutzbeauftragte ist zu regelmäßigen Weiterbildungen verpflichtet.</w:t>
      </w:r>
    </w:p>
    <w:p w14:paraId="75605EDF" w14:textId="5FE338E0" w:rsidR="0040131F" w:rsidRPr="00FE7826" w:rsidRDefault="00412B90" w:rsidP="00E03E5F">
      <w:pPr>
        <w:pStyle w:val="Absatz1"/>
      </w:pPr>
      <w:r w:rsidRPr="00E03E5F">
        <w:t xml:space="preserve">(6) </w:t>
      </w:r>
      <w:r w:rsidR="00C42069">
        <w:t xml:space="preserve">Die </w:t>
      </w:r>
      <w:r w:rsidR="00C42069" w:rsidRPr="00C42069">
        <w:rPr>
          <w:highlight w:val="yellow"/>
        </w:rPr>
        <w:t>IT-Verantwortlichen</w:t>
      </w:r>
      <w:r w:rsidR="00C42069">
        <w:t xml:space="preserve"> stellen</w:t>
      </w:r>
      <w:r w:rsidRPr="00E03E5F">
        <w:t xml:space="preserve"> die Umsetzung der Anforderungen in Bezug auf Datenschutz und Informatio</w:t>
      </w:r>
      <w:r w:rsidR="005C0311" w:rsidRPr="00E03E5F">
        <w:t>n</w:t>
      </w:r>
      <w:r w:rsidRPr="00E03E5F">
        <w:t xml:space="preserve">ssicherheit mit geeigneten technischen Maßnahmen zur Risikominderung sicher. Wird ein externer IT-Leistungserbringer eingesetzt, so sind die Anforderungen zu übermitteln und deren Einhaltung bzw. Umsetzung sicherzustellen. </w:t>
      </w:r>
    </w:p>
    <w:p w14:paraId="5725F7C0" w14:textId="3C239EBF" w:rsidR="0040131F" w:rsidRPr="00013F2B" w:rsidRDefault="00412B90" w:rsidP="00013F2B">
      <w:pPr>
        <w:pStyle w:val="Absatz1"/>
      </w:pPr>
      <w:r w:rsidRPr="00E03E5F">
        <w:t>(7) Alle Mitarbeiter haben sich jederzeit so zu verhalten, dass Datenschutz und Informationssicherheit in ihrem Aufgaben- und Verantwortungsbereich sichergestellt ist</w:t>
      </w:r>
      <w:r w:rsidR="00C42069">
        <w:t xml:space="preserve">. </w:t>
      </w:r>
      <w:r w:rsidRPr="00E03E5F">
        <w:t>Datenschutz- bzw. sicherheitsrelevante Vorkommnisse sind unverzüglich an den Datenschutzbeauftragten zu melden.</w:t>
      </w:r>
    </w:p>
    <w:p w14:paraId="665649E2" w14:textId="4815FA3F" w:rsidR="0040131F" w:rsidRDefault="00412B90" w:rsidP="00013F2B">
      <w:pPr>
        <w:pStyle w:val="berschrift1"/>
        <w:spacing w:before="360"/>
      </w:pPr>
      <w:bookmarkStart w:id="6" w:name="_Toc6"/>
      <w:r>
        <w:t xml:space="preserve">§5 </w:t>
      </w:r>
      <w:r w:rsidR="00013F2B">
        <w:t>Verstöß</w:t>
      </w:r>
      <w:r>
        <w:t>e</w:t>
      </w:r>
      <w:bookmarkEnd w:id="6"/>
    </w:p>
    <w:p w14:paraId="73E88251" w14:textId="4F6AB90F" w:rsidR="0040131F" w:rsidRDefault="00412B90">
      <w:pPr>
        <w:pStyle w:val="Absatz1"/>
      </w:pPr>
      <w:r>
        <w:rPr>
          <w:rFonts w:eastAsia="Arial Unicode MS" w:cs="Arial Unicode MS"/>
        </w:rPr>
        <w:t>(1) Verstö</w:t>
      </w:r>
      <w:r w:rsidR="00013F2B">
        <w:rPr>
          <w:rFonts w:eastAsia="Arial Unicode MS" w:cs="Arial Unicode MS"/>
        </w:rPr>
        <w:t>ß</w:t>
      </w:r>
      <w:r>
        <w:rPr>
          <w:rFonts w:eastAsia="Arial Unicode MS" w:cs="Arial Unicode MS"/>
        </w:rPr>
        <w:t xml:space="preserve">e gegen die Vorgaben in dieser </w:t>
      </w:r>
      <w:r w:rsidR="00C42069">
        <w:rPr>
          <w:rFonts w:eastAsia="Arial Unicode MS" w:cs="Arial Unicode MS"/>
        </w:rPr>
        <w:t>Leitlinie</w:t>
      </w:r>
      <w:r>
        <w:rPr>
          <w:rFonts w:eastAsia="Arial Unicode MS" w:cs="Arial Unicode MS"/>
        </w:rPr>
        <w:t xml:space="preserve"> können zu disziplinar- oder arbeitsrechtlichen Konsequenzen führen.</w:t>
      </w:r>
    </w:p>
    <w:p w14:paraId="4A0D10AE" w14:textId="2C56F700" w:rsidR="0040131F" w:rsidRDefault="00412B90">
      <w:pPr>
        <w:pStyle w:val="berschrift1"/>
        <w:spacing w:before="360"/>
      </w:pPr>
      <w:bookmarkStart w:id="7" w:name="_Toc7"/>
      <w:r>
        <w:t>§6 Weitergehende Regelungen</w:t>
      </w:r>
      <w:bookmarkEnd w:id="7"/>
    </w:p>
    <w:p w14:paraId="61148D11" w14:textId="511B79B2" w:rsidR="0040131F" w:rsidRDefault="00412B90" w:rsidP="00013F2B">
      <w:pPr>
        <w:pStyle w:val="Absatz1"/>
        <w:tabs>
          <w:tab w:val="left" w:pos="720"/>
        </w:tabs>
      </w:pPr>
      <w:r>
        <w:rPr>
          <w:rFonts w:eastAsia="Arial Unicode MS" w:cs="Arial Unicode MS"/>
        </w:rPr>
        <w:t xml:space="preserve">(1) </w:t>
      </w:r>
      <w:r w:rsidR="00C42069">
        <w:rPr>
          <w:rFonts w:eastAsia="Arial Unicode MS" w:cs="Arial Unicode MS"/>
        </w:rPr>
        <w:t xml:space="preserve">Die Geschäftsleitung veröffentlicht mitgeltende Dokumente zu Präzisierung dieser Regelungen in geeigneter Form. </w:t>
      </w:r>
    </w:p>
    <w:p w14:paraId="527ADD50" w14:textId="17F24E59" w:rsidR="0040131F" w:rsidRPr="00013F2B" w:rsidRDefault="00412B90" w:rsidP="00013F2B">
      <w:pPr>
        <w:pStyle w:val="berschrift1"/>
        <w:spacing w:before="360"/>
      </w:pPr>
      <w:bookmarkStart w:id="8" w:name="_Toc8"/>
      <w:r>
        <w:lastRenderedPageBreak/>
        <w:t>§7 Inkrafttreten</w:t>
      </w:r>
      <w:bookmarkEnd w:id="8"/>
    </w:p>
    <w:p w14:paraId="4E8920CD" w14:textId="11974E95" w:rsidR="0040131F" w:rsidRDefault="00412B90">
      <w:pPr>
        <w:pStyle w:val="Absatz1"/>
      </w:pPr>
      <w:r>
        <w:rPr>
          <w:rFonts w:eastAsia="Arial Unicode MS" w:cs="Arial Unicode MS"/>
        </w:rPr>
        <w:t xml:space="preserve">(1) Diese </w:t>
      </w:r>
      <w:r w:rsidR="00C42069">
        <w:rPr>
          <w:rFonts w:eastAsia="Arial Unicode MS" w:cs="Arial Unicode MS"/>
        </w:rPr>
        <w:t>Leitlinie</w:t>
      </w:r>
      <w:bookmarkStart w:id="9" w:name="_GoBack"/>
      <w:bookmarkEnd w:id="9"/>
      <w:r>
        <w:rPr>
          <w:rFonts w:eastAsia="Arial Unicode MS" w:cs="Arial Unicode MS"/>
        </w:rPr>
        <w:t xml:space="preserve"> tritt am XXX in Kraft.</w:t>
      </w:r>
    </w:p>
    <w:p w14:paraId="7DBC3109" w14:textId="77777777" w:rsidR="0040131F" w:rsidRDefault="0040131F">
      <w:pPr>
        <w:pStyle w:val="Absatz1"/>
      </w:pPr>
    </w:p>
    <w:p w14:paraId="37B21AEF" w14:textId="77777777" w:rsidR="0040131F" w:rsidRDefault="0040131F">
      <w:pPr>
        <w:pStyle w:val="Absatz1"/>
      </w:pPr>
    </w:p>
    <w:p w14:paraId="46C0159F" w14:textId="77777777" w:rsidR="0040131F" w:rsidRDefault="00412B90">
      <w:pPr>
        <w:pStyle w:val="Absatz1"/>
      </w:pPr>
      <w:r>
        <w:rPr>
          <w:rFonts w:eastAsia="Arial Unicode MS" w:cs="Arial Unicode MS"/>
        </w:rPr>
        <w:t xml:space="preserve">Ort, Unterschrift </w:t>
      </w:r>
    </w:p>
    <w:p w14:paraId="520A4396" w14:textId="77777777" w:rsidR="0040131F" w:rsidRDefault="0040131F">
      <w:pPr>
        <w:pStyle w:val="Absatz1"/>
      </w:pPr>
    </w:p>
    <w:p w14:paraId="6ECFAEA0" w14:textId="77777777" w:rsidR="0040131F" w:rsidRDefault="0040131F">
      <w:pPr>
        <w:pStyle w:val="Absatz1"/>
      </w:pPr>
    </w:p>
    <w:sectPr w:rsidR="0040131F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3F3E6" w14:textId="77777777" w:rsidR="00435A8A" w:rsidRDefault="00435A8A">
      <w:r>
        <w:separator/>
      </w:r>
    </w:p>
  </w:endnote>
  <w:endnote w:type="continuationSeparator" w:id="0">
    <w:p w14:paraId="74CF6449" w14:textId="77777777" w:rsidR="00435A8A" w:rsidRDefault="0043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D969B" w14:textId="5F756507" w:rsidR="0040131F" w:rsidRDefault="00C42069">
    <w:pPr>
      <w:pStyle w:val="Fuzeile"/>
      <w:tabs>
        <w:tab w:val="clear" w:pos="9072"/>
        <w:tab w:val="right" w:pos="9046"/>
      </w:tabs>
    </w:pPr>
    <w:r>
      <w:rPr>
        <w:sz w:val="16"/>
        <w:szCs w:val="16"/>
      </w:rPr>
      <w:t xml:space="preserve">Leitlinie </w:t>
    </w:r>
    <w:r w:rsidR="00412B90">
      <w:rPr>
        <w:sz w:val="16"/>
        <w:szCs w:val="16"/>
      </w:rPr>
      <w:t>Datenschutz- un</w:t>
    </w:r>
    <w:r>
      <w:rPr>
        <w:sz w:val="16"/>
        <w:szCs w:val="16"/>
      </w:rPr>
      <w:t>d Informationssicherheit</w:t>
    </w:r>
    <w:r w:rsidR="00412B90">
      <w:rPr>
        <w:sz w:val="16"/>
        <w:szCs w:val="16"/>
      </w:rPr>
      <w:t xml:space="preserve"> – Version</w:t>
    </w:r>
    <w:r>
      <w:rPr>
        <w:sz w:val="16"/>
        <w:szCs w:val="16"/>
      </w:rPr>
      <w:t xml:space="preserve"> XX</w:t>
    </w:r>
    <w:r w:rsidR="00412B90">
      <w:rPr>
        <w:sz w:val="16"/>
        <w:szCs w:val="16"/>
      </w:rPr>
      <w:tab/>
      <w:t xml:space="preserve"> </w:t>
    </w:r>
    <w:r>
      <w:rPr>
        <w:sz w:val="16"/>
        <w:szCs w:val="16"/>
      </w:rPr>
      <w:tab/>
    </w:r>
    <w:r w:rsidR="00412B90">
      <w:rPr>
        <w:sz w:val="16"/>
        <w:szCs w:val="16"/>
      </w:rPr>
      <w:t xml:space="preserve">Seite </w:t>
    </w:r>
    <w:r w:rsidR="00412B90">
      <w:rPr>
        <w:sz w:val="16"/>
        <w:szCs w:val="16"/>
      </w:rPr>
      <w:fldChar w:fldCharType="begin"/>
    </w:r>
    <w:r w:rsidR="00412B90">
      <w:rPr>
        <w:sz w:val="16"/>
        <w:szCs w:val="16"/>
      </w:rPr>
      <w:instrText xml:space="preserve"> PAGE </w:instrText>
    </w:r>
    <w:r w:rsidR="00412B90">
      <w:rPr>
        <w:sz w:val="16"/>
        <w:szCs w:val="16"/>
      </w:rPr>
      <w:fldChar w:fldCharType="separate"/>
    </w:r>
    <w:r w:rsidR="00412B90">
      <w:rPr>
        <w:sz w:val="16"/>
        <w:szCs w:val="16"/>
      </w:rPr>
      <w:t>3</w:t>
    </w:r>
    <w:r w:rsidR="00412B90">
      <w:rPr>
        <w:sz w:val="16"/>
        <w:szCs w:val="16"/>
      </w:rPr>
      <w:fldChar w:fldCharType="end"/>
    </w:r>
    <w:r w:rsidR="00412B90">
      <w:rPr>
        <w:sz w:val="16"/>
        <w:szCs w:val="16"/>
      </w:rPr>
      <w:t xml:space="preserve"> von </w:t>
    </w:r>
    <w:r w:rsidR="00412B90">
      <w:rPr>
        <w:sz w:val="16"/>
        <w:szCs w:val="16"/>
      </w:rPr>
      <w:fldChar w:fldCharType="begin"/>
    </w:r>
    <w:r w:rsidR="00412B90">
      <w:rPr>
        <w:sz w:val="16"/>
        <w:szCs w:val="16"/>
      </w:rPr>
      <w:instrText xml:space="preserve"> NUMPAGES </w:instrText>
    </w:r>
    <w:r w:rsidR="00412B90">
      <w:rPr>
        <w:sz w:val="16"/>
        <w:szCs w:val="16"/>
      </w:rPr>
      <w:fldChar w:fldCharType="separate"/>
    </w:r>
    <w:r w:rsidR="00412B90">
      <w:rPr>
        <w:sz w:val="16"/>
        <w:szCs w:val="16"/>
      </w:rPr>
      <w:t>5</w:t>
    </w:r>
    <w:r w:rsidR="00412B90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CC1C3" w14:textId="77777777" w:rsidR="00435A8A" w:rsidRDefault="00435A8A">
      <w:r>
        <w:separator/>
      </w:r>
    </w:p>
  </w:footnote>
  <w:footnote w:type="continuationSeparator" w:id="0">
    <w:p w14:paraId="4662A5FB" w14:textId="77777777" w:rsidR="00435A8A" w:rsidRDefault="00435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FAD11" w14:textId="4322CCBC" w:rsidR="0040131F" w:rsidRDefault="00C42069">
    <w:pPr>
      <w:pStyle w:val="Kopfzeile"/>
      <w:tabs>
        <w:tab w:val="clear" w:pos="9072"/>
        <w:tab w:val="right" w:pos="9046"/>
      </w:tabs>
      <w:jc w:val="center"/>
    </w:pPr>
    <w:r w:rsidRPr="00C42069">
      <w:rPr>
        <w:highlight w:val="yellow"/>
      </w:rPr>
      <w:t>Firma XX</w:t>
    </w:r>
    <w:r w:rsidR="00412B90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355BC"/>
    <w:multiLevelType w:val="hybridMultilevel"/>
    <w:tmpl w:val="AF6E90E4"/>
    <w:styleLink w:val="ImportierterStil1"/>
    <w:lvl w:ilvl="0" w:tplc="ECF642AE">
      <w:start w:val="1"/>
      <w:numFmt w:val="decimal"/>
      <w:lvlText w:val="%1."/>
      <w:lvlJc w:val="left"/>
      <w:pPr>
        <w:tabs>
          <w:tab w:val="left" w:pos="720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5EAB66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8C5E40">
      <w:start w:val="1"/>
      <w:numFmt w:val="decimal"/>
      <w:lvlText w:val="%3."/>
      <w:lvlJc w:val="left"/>
      <w:pPr>
        <w:tabs>
          <w:tab w:val="left" w:pos="567"/>
          <w:tab w:val="left" w:pos="720"/>
        </w:tabs>
        <w:ind w:left="14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72552A">
      <w:start w:val="1"/>
      <w:numFmt w:val="decimal"/>
      <w:lvlText w:val="%4."/>
      <w:lvlJc w:val="left"/>
      <w:pPr>
        <w:tabs>
          <w:tab w:val="left" w:pos="567"/>
          <w:tab w:val="left" w:pos="720"/>
        </w:tabs>
        <w:ind w:left="21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C849F2">
      <w:start w:val="1"/>
      <w:numFmt w:val="decimal"/>
      <w:lvlText w:val="%5."/>
      <w:lvlJc w:val="left"/>
      <w:pPr>
        <w:tabs>
          <w:tab w:val="left" w:pos="567"/>
          <w:tab w:val="left" w:pos="720"/>
        </w:tabs>
        <w:ind w:left="28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4C8E04">
      <w:start w:val="1"/>
      <w:numFmt w:val="decimal"/>
      <w:lvlText w:val="%6."/>
      <w:lvlJc w:val="left"/>
      <w:pPr>
        <w:tabs>
          <w:tab w:val="left" w:pos="567"/>
          <w:tab w:val="left" w:pos="720"/>
        </w:tabs>
        <w:ind w:left="36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FEEDD6">
      <w:start w:val="1"/>
      <w:numFmt w:val="decimal"/>
      <w:lvlText w:val="%7."/>
      <w:lvlJc w:val="left"/>
      <w:pPr>
        <w:tabs>
          <w:tab w:val="left" w:pos="567"/>
          <w:tab w:val="left" w:pos="720"/>
        </w:tabs>
        <w:ind w:left="43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C4135E">
      <w:start w:val="1"/>
      <w:numFmt w:val="decimal"/>
      <w:lvlText w:val="%8."/>
      <w:lvlJc w:val="left"/>
      <w:pPr>
        <w:tabs>
          <w:tab w:val="left" w:pos="567"/>
          <w:tab w:val="left" w:pos="720"/>
        </w:tabs>
        <w:ind w:left="50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7E8DCA">
      <w:start w:val="1"/>
      <w:numFmt w:val="decimal"/>
      <w:lvlText w:val="%9."/>
      <w:lvlJc w:val="left"/>
      <w:pPr>
        <w:tabs>
          <w:tab w:val="left" w:pos="567"/>
          <w:tab w:val="left" w:pos="720"/>
        </w:tabs>
        <w:ind w:left="57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FF625D"/>
    <w:multiLevelType w:val="multilevel"/>
    <w:tmpl w:val="5840E836"/>
    <w:numStyleLink w:val="ImportierterStil10"/>
  </w:abstractNum>
  <w:abstractNum w:abstractNumId="2" w15:restartNumberingAfterBreak="0">
    <w:nsid w:val="4DB71F90"/>
    <w:multiLevelType w:val="hybridMultilevel"/>
    <w:tmpl w:val="25EC5BD8"/>
    <w:styleLink w:val="ImportierterStil5"/>
    <w:lvl w:ilvl="0" w:tplc="EE54D414">
      <w:start w:val="1"/>
      <w:numFmt w:val="bullet"/>
      <w:lvlText w:val="·"/>
      <w:lvlJc w:val="left"/>
      <w:pPr>
        <w:tabs>
          <w:tab w:val="num" w:pos="567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CA5C4C">
      <w:start w:val="1"/>
      <w:numFmt w:val="bullet"/>
      <w:lvlText w:val="o"/>
      <w:lvlJc w:val="left"/>
      <w:pPr>
        <w:tabs>
          <w:tab w:val="num" w:pos="1440"/>
        </w:tabs>
        <w:ind w:left="159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AE4470">
      <w:start w:val="1"/>
      <w:numFmt w:val="bullet"/>
      <w:lvlText w:val="▪"/>
      <w:lvlJc w:val="left"/>
      <w:pPr>
        <w:tabs>
          <w:tab w:val="num" w:pos="2160"/>
        </w:tabs>
        <w:ind w:left="231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6CCC4">
      <w:start w:val="1"/>
      <w:numFmt w:val="bullet"/>
      <w:lvlText w:val="·"/>
      <w:lvlJc w:val="left"/>
      <w:pPr>
        <w:tabs>
          <w:tab w:val="num" w:pos="2880"/>
        </w:tabs>
        <w:ind w:left="3033" w:hanging="51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84225A">
      <w:start w:val="1"/>
      <w:numFmt w:val="bullet"/>
      <w:lvlText w:val="o"/>
      <w:lvlJc w:val="left"/>
      <w:pPr>
        <w:tabs>
          <w:tab w:val="num" w:pos="3600"/>
        </w:tabs>
        <w:ind w:left="375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0A63F2">
      <w:start w:val="1"/>
      <w:numFmt w:val="bullet"/>
      <w:lvlText w:val="▪"/>
      <w:lvlJc w:val="left"/>
      <w:pPr>
        <w:tabs>
          <w:tab w:val="num" w:pos="4320"/>
        </w:tabs>
        <w:ind w:left="447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6EDB48">
      <w:start w:val="1"/>
      <w:numFmt w:val="bullet"/>
      <w:lvlText w:val="·"/>
      <w:lvlJc w:val="left"/>
      <w:pPr>
        <w:tabs>
          <w:tab w:val="num" w:pos="5040"/>
        </w:tabs>
        <w:ind w:left="5193" w:hanging="51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68A2EC">
      <w:start w:val="1"/>
      <w:numFmt w:val="bullet"/>
      <w:lvlText w:val="o"/>
      <w:lvlJc w:val="left"/>
      <w:pPr>
        <w:tabs>
          <w:tab w:val="num" w:pos="5760"/>
        </w:tabs>
        <w:ind w:left="591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0EACEE">
      <w:start w:val="1"/>
      <w:numFmt w:val="bullet"/>
      <w:lvlText w:val="▪"/>
      <w:lvlJc w:val="left"/>
      <w:pPr>
        <w:tabs>
          <w:tab w:val="num" w:pos="6480"/>
        </w:tabs>
        <w:ind w:left="6633" w:hanging="51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5490CE7"/>
    <w:multiLevelType w:val="hybridMultilevel"/>
    <w:tmpl w:val="25EC5BD8"/>
    <w:numStyleLink w:val="ImportierterStil5"/>
  </w:abstractNum>
  <w:abstractNum w:abstractNumId="4" w15:restartNumberingAfterBreak="0">
    <w:nsid w:val="60394028"/>
    <w:multiLevelType w:val="hybridMultilevel"/>
    <w:tmpl w:val="AF6E90E4"/>
    <w:numStyleLink w:val="ImportierterStil1"/>
  </w:abstractNum>
  <w:abstractNum w:abstractNumId="5" w15:restartNumberingAfterBreak="0">
    <w:nsid w:val="71911F94"/>
    <w:multiLevelType w:val="hybridMultilevel"/>
    <w:tmpl w:val="290E70D2"/>
    <w:numStyleLink w:val="Punkte"/>
  </w:abstractNum>
  <w:abstractNum w:abstractNumId="6" w15:restartNumberingAfterBreak="0">
    <w:nsid w:val="77777084"/>
    <w:multiLevelType w:val="multilevel"/>
    <w:tmpl w:val="5840E836"/>
    <w:styleLink w:val="ImportierterStil10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44" w:hanging="1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2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2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D7542F6"/>
    <w:multiLevelType w:val="hybridMultilevel"/>
    <w:tmpl w:val="290E70D2"/>
    <w:styleLink w:val="Punkte"/>
    <w:lvl w:ilvl="0" w:tplc="C68C677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CE573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208F86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4A324E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D88C00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7A7C98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EAA6CA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AA31E6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50E318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5"/>
  </w:num>
  <w:num w:numId="3">
    <w:abstractNumId w:val="5"/>
    <w:lvlOverride w:ilvl="0">
      <w:lvl w:ilvl="0" w:tplc="359269F2">
        <w:start w:val="1"/>
        <w:numFmt w:val="bullet"/>
        <w:lvlText w:val="•"/>
        <w:lvlJc w:val="left"/>
        <w:pPr>
          <w:ind w:left="1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D149FF2">
        <w:start w:val="1"/>
        <w:numFmt w:val="bullet"/>
        <w:lvlText w:val="•"/>
        <w:lvlJc w:val="left"/>
        <w:pPr>
          <w:ind w:left="7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A4C3134">
        <w:start w:val="1"/>
        <w:numFmt w:val="bullet"/>
        <w:lvlText w:val="•"/>
        <w:lvlJc w:val="left"/>
        <w:pPr>
          <w:ind w:left="13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8621A2">
        <w:start w:val="1"/>
        <w:numFmt w:val="bullet"/>
        <w:lvlText w:val="•"/>
        <w:lvlJc w:val="left"/>
        <w:pPr>
          <w:ind w:left="1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4AAD092">
        <w:start w:val="1"/>
        <w:numFmt w:val="bullet"/>
        <w:lvlText w:val="•"/>
        <w:lvlJc w:val="left"/>
        <w:pPr>
          <w:ind w:left="25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BA0A50">
        <w:start w:val="1"/>
        <w:numFmt w:val="bullet"/>
        <w:lvlText w:val="•"/>
        <w:lvlJc w:val="left"/>
        <w:pPr>
          <w:ind w:left="31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2EA2310">
        <w:start w:val="1"/>
        <w:numFmt w:val="bullet"/>
        <w:lvlText w:val="•"/>
        <w:lvlJc w:val="left"/>
        <w:pPr>
          <w:ind w:left="37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97274B2">
        <w:start w:val="1"/>
        <w:numFmt w:val="bullet"/>
        <w:lvlText w:val="•"/>
        <w:lvlJc w:val="left"/>
        <w:pPr>
          <w:ind w:left="43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3443F6E">
        <w:start w:val="1"/>
        <w:numFmt w:val="bullet"/>
        <w:lvlText w:val="•"/>
        <w:lvlJc w:val="left"/>
        <w:pPr>
          <w:ind w:left="4974" w:hanging="1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31F"/>
    <w:rsid w:val="00013F2B"/>
    <w:rsid w:val="003A2676"/>
    <w:rsid w:val="0040131F"/>
    <w:rsid w:val="00412B90"/>
    <w:rsid w:val="00435A8A"/>
    <w:rsid w:val="004E07F3"/>
    <w:rsid w:val="00526A2E"/>
    <w:rsid w:val="005C0311"/>
    <w:rsid w:val="00B91A3E"/>
    <w:rsid w:val="00C42069"/>
    <w:rsid w:val="00E03E5F"/>
    <w:rsid w:val="00F02DA6"/>
    <w:rsid w:val="00FE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936F3E"/>
  <w15:docId w15:val="{6BFD09A6-984E-EE47-967C-A73D07BE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berschrift1">
    <w:name w:val="heading 1"/>
    <w:next w:val="Absatz1"/>
    <w:pPr>
      <w:keepNext/>
      <w:tabs>
        <w:tab w:val="left" w:pos="567"/>
      </w:tabs>
      <w:spacing w:before="720"/>
      <w:outlineLvl w:val="0"/>
    </w:pPr>
    <w:rPr>
      <w:rFonts w:ascii="Arial" w:eastAsia="Arial" w:hAnsi="Arial" w:cs="Arial"/>
      <w:b/>
      <w:bCs/>
      <w:color w:val="000000"/>
      <w:sz w:val="26"/>
      <w:szCs w:val="26"/>
      <w:u w:color="000000"/>
    </w:rPr>
  </w:style>
  <w:style w:type="paragraph" w:styleId="berschrift2">
    <w:name w:val="heading 2"/>
    <w:next w:val="Absatz1"/>
    <w:pPr>
      <w:keepNext/>
      <w:spacing w:before="480"/>
      <w:outlineLvl w:val="1"/>
    </w:pPr>
    <w:rPr>
      <w:rFonts w:ascii="Arial" w:eastAsia="Arial" w:hAnsi="Arial" w:cs="Arial"/>
      <w:b/>
      <w:bCs/>
      <w:color w:val="000000"/>
      <w:sz w:val="24"/>
      <w:szCs w:val="24"/>
      <w:u w:color="000000"/>
    </w:rPr>
  </w:style>
  <w:style w:type="paragraph" w:styleId="berschrift3">
    <w:name w:val="heading 3"/>
    <w:next w:val="Absatz1"/>
    <w:pPr>
      <w:keepNext/>
      <w:tabs>
        <w:tab w:val="left" w:pos="567"/>
      </w:tabs>
      <w:spacing w:before="480"/>
      <w:ind w:left="153" w:hanging="153"/>
      <w:outlineLvl w:val="2"/>
    </w:pPr>
    <w:rPr>
      <w:rFonts w:ascii="Arial" w:eastAsia="Arial" w:hAnsi="Arial" w:cs="Arial"/>
      <w:b/>
      <w:bCs/>
      <w:color w:val="000000"/>
      <w:sz w:val="22"/>
      <w:szCs w:val="22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Absatz1">
    <w:name w:val="Absatz_1"/>
    <w:pPr>
      <w:tabs>
        <w:tab w:val="left" w:pos="567"/>
      </w:tabs>
      <w:spacing w:before="120"/>
      <w:jc w:val="both"/>
    </w:pPr>
    <w:rPr>
      <w:rFonts w:ascii="Arial" w:eastAsia="Arial" w:hAnsi="Arial" w:cs="Arial"/>
      <w:color w:val="000000"/>
      <w:sz w:val="22"/>
      <w:szCs w:val="22"/>
      <w:u w:color="000000"/>
    </w:rPr>
  </w:style>
  <w:style w:type="paragraph" w:styleId="Verzeichnis1">
    <w:name w:val="toc 1"/>
    <w:pPr>
      <w:tabs>
        <w:tab w:val="left" w:pos="440"/>
        <w:tab w:val="right" w:pos="9046"/>
      </w:tabs>
    </w:pPr>
    <w:rPr>
      <w:rFonts w:ascii="Arial" w:eastAsia="Arial" w:hAnsi="Arial" w:cs="Arial"/>
      <w:color w:val="000000"/>
      <w:sz w:val="22"/>
      <w:szCs w:val="22"/>
      <w:u w:color="000000"/>
    </w:rPr>
  </w:style>
  <w:style w:type="paragraph" w:styleId="Verzeichnis2">
    <w:name w:val="toc 2"/>
    <w:pPr>
      <w:tabs>
        <w:tab w:val="left" w:pos="880"/>
        <w:tab w:val="right" w:pos="9046"/>
      </w:tabs>
    </w:pPr>
    <w:rPr>
      <w:rFonts w:ascii="Arial" w:eastAsia="Arial" w:hAnsi="Arial" w:cs="Arial"/>
      <w:color w:val="000000"/>
      <w:sz w:val="22"/>
      <w:szCs w:val="22"/>
      <w:u w:color="000000"/>
    </w:rPr>
  </w:style>
  <w:style w:type="paragraph" w:styleId="Verzeichnis3">
    <w:name w:val="toc 3"/>
    <w:pPr>
      <w:tabs>
        <w:tab w:val="right" w:pos="9046"/>
      </w:tabs>
      <w:ind w:left="440"/>
    </w:pPr>
    <w:rPr>
      <w:rFonts w:ascii="Arial" w:eastAsia="Arial" w:hAnsi="Arial" w:cs="Arial"/>
      <w:color w:val="000000"/>
      <w:sz w:val="22"/>
      <w:szCs w:val="22"/>
      <w:u w:color="000000"/>
    </w:rPr>
  </w:style>
  <w:style w:type="paragraph" w:styleId="Listenabsatz">
    <w:name w:val="List Paragraph"/>
    <w:pPr>
      <w:ind w:left="72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Punkte">
    <w:name w:val="Punkte"/>
    <w:pPr>
      <w:numPr>
        <w:numId w:val="1"/>
      </w:numPr>
    </w:pPr>
  </w:style>
  <w:style w:type="numbering" w:customStyle="1" w:styleId="ImportierterStil5">
    <w:name w:val="Importierter Stil: 5"/>
    <w:pPr>
      <w:numPr>
        <w:numId w:val="4"/>
      </w:numPr>
    </w:pPr>
  </w:style>
  <w:style w:type="numbering" w:customStyle="1" w:styleId="ImportierterStil1">
    <w:name w:val="Importierter Stil: 1"/>
    <w:pPr>
      <w:numPr>
        <w:numId w:val="6"/>
      </w:numPr>
    </w:pPr>
  </w:style>
  <w:style w:type="numbering" w:customStyle="1" w:styleId="ImportierterStil10">
    <w:name w:val="Importierter Stil: 1.0"/>
    <w:pPr>
      <w:numPr>
        <w:numId w:val="8"/>
      </w:numPr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Helvetica Neue" w:eastAsia="Helvetica Neue" w:hAnsi="Helvetica Neue" w:cs="Helvetica Neue"/>
      <w:color w:val="000000"/>
      <w:u w:color="00000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1A3E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1A3E"/>
    <w:rPr>
      <w:rFonts w:eastAsia="Helvetica Neue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915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Sachar Paulus</cp:lastModifiedBy>
  <cp:revision>3</cp:revision>
  <dcterms:created xsi:type="dcterms:W3CDTF">2018-06-07T20:20:00Z</dcterms:created>
  <dcterms:modified xsi:type="dcterms:W3CDTF">2018-06-07T20:32:00Z</dcterms:modified>
</cp:coreProperties>
</file>