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910E99" w14:textId="77777777" w:rsidR="00595373" w:rsidRDefault="00595373">
      <w:pPr>
        <w:rPr>
          <w:sz w:val="48"/>
          <w:szCs w:val="48"/>
        </w:rPr>
      </w:pPr>
    </w:p>
    <w:p w14:paraId="71E9F4B9" w14:textId="77777777" w:rsidR="00595373" w:rsidRDefault="00595373">
      <w:pPr>
        <w:rPr>
          <w:sz w:val="48"/>
          <w:szCs w:val="48"/>
        </w:rPr>
      </w:pPr>
    </w:p>
    <w:p w14:paraId="375E41B0" w14:textId="77777777" w:rsidR="00595373" w:rsidRDefault="00595373">
      <w:pPr>
        <w:rPr>
          <w:sz w:val="48"/>
          <w:szCs w:val="48"/>
        </w:rPr>
      </w:pPr>
    </w:p>
    <w:tbl>
      <w:tblPr>
        <w:tblW w:w="5000" w:type="pct"/>
        <w:tblLayout w:type="fixed"/>
        <w:tblCellMar>
          <w:left w:w="0" w:type="dxa"/>
          <w:right w:w="0" w:type="dxa"/>
        </w:tblCellMar>
        <w:tblLook w:val="01E0" w:firstRow="1" w:lastRow="1" w:firstColumn="1" w:lastColumn="1" w:noHBand="0" w:noVBand="0"/>
      </w:tblPr>
      <w:tblGrid>
        <w:gridCol w:w="9072"/>
      </w:tblGrid>
      <w:tr w:rsidR="00D57A45" w:rsidRPr="003A1A46" w14:paraId="0EB7349E" w14:textId="77777777" w:rsidTr="00D57A45">
        <w:trPr>
          <w:trHeight w:hRule="exact" w:val="2381"/>
        </w:trPr>
        <w:tc>
          <w:tcPr>
            <w:tcW w:w="5000" w:type="pct"/>
          </w:tcPr>
          <w:p w14:paraId="368B07CE" w14:textId="47D44588" w:rsidR="00D57A45" w:rsidRPr="003A1A46" w:rsidRDefault="00A24E85" w:rsidP="00803B40">
            <w:pPr>
              <w:pStyle w:val="Beschriftung"/>
              <w:framePr w:wrap="auto" w:vAnchor="margin" w:yAlign="inline"/>
              <w:spacing w:before="240"/>
              <w:rPr>
                <w:b/>
                <w:i w:val="0"/>
                <w:sz w:val="48"/>
                <w:szCs w:val="48"/>
              </w:rPr>
            </w:pPr>
            <w:sdt>
              <w:sdtPr>
                <w:rPr>
                  <w:b/>
                  <w:i w:val="0"/>
                  <w:sz w:val="48"/>
                  <w:szCs w:val="48"/>
                </w:rPr>
                <w:alias w:val="Title"/>
                <w:id w:val="176936028"/>
                <w:placeholder>
                  <w:docPart w:val="5E5F4C1FFCB75943BBFE19B1C75A19C0"/>
                </w:placeholder>
                <w:dataBinding w:prefixMappings="xmlns:ns0='http://purl.org/dc/elements/1.1/' xmlns:ns1='http://schemas.openxmlformats.org/package/2006/metadata/core-properties' " w:xpath="/ns1:coreProperties[1]/ns0:title[1]" w:storeItemID="{6C3C8BC8-F283-45AE-878A-BAB7291924A1}"/>
                <w:text/>
              </w:sdtPr>
              <w:sdtEndPr/>
              <w:sdtContent>
                <w:r w:rsidR="00F37472">
                  <w:rPr>
                    <w:b/>
                    <w:i w:val="0"/>
                    <w:sz w:val="48"/>
                    <w:szCs w:val="48"/>
                  </w:rPr>
                  <w:t>Vertragsergänzung</w:t>
                </w:r>
                <w:r w:rsidR="00803B40">
                  <w:rPr>
                    <w:b/>
                    <w:i w:val="0"/>
                    <w:sz w:val="48"/>
                    <w:szCs w:val="48"/>
                  </w:rPr>
                  <w:t xml:space="preserve"> IT-Sicherheit</w:t>
                </w:r>
              </w:sdtContent>
            </w:sdt>
          </w:p>
        </w:tc>
      </w:tr>
    </w:tbl>
    <w:p w14:paraId="37849585" w14:textId="77777777" w:rsidR="004015EA" w:rsidRPr="00595373" w:rsidRDefault="004015EA">
      <w:pPr>
        <w:rPr>
          <w:sz w:val="48"/>
          <w:szCs w:val="48"/>
        </w:rPr>
      </w:pPr>
    </w:p>
    <w:p w14:paraId="7468DA18" w14:textId="77777777" w:rsidR="00595373" w:rsidRDefault="00595373"/>
    <w:p w14:paraId="7583AF32" w14:textId="77777777" w:rsidR="00595373" w:rsidRDefault="00595373"/>
    <w:p w14:paraId="57E50155" w14:textId="77777777" w:rsidR="00595373" w:rsidRDefault="00595373"/>
    <w:p w14:paraId="0770F093" w14:textId="77777777" w:rsidR="00595373" w:rsidRDefault="00595373"/>
    <w:p w14:paraId="12C9F0F3" w14:textId="77777777" w:rsidR="00595373" w:rsidRDefault="00595373"/>
    <w:p w14:paraId="682D60EF" w14:textId="77777777" w:rsidR="00595373" w:rsidRDefault="00595373"/>
    <w:p w14:paraId="2FEC95AE" w14:textId="77777777" w:rsidR="00595373" w:rsidRDefault="00595373"/>
    <w:p w14:paraId="2236FA6C" w14:textId="77777777" w:rsidR="00595373" w:rsidRDefault="00595373"/>
    <w:p w14:paraId="3231BC47" w14:textId="77777777" w:rsidR="00595373" w:rsidRDefault="00595373"/>
    <w:p w14:paraId="3910CEBA" w14:textId="77777777" w:rsidR="00595373" w:rsidRDefault="00595373"/>
    <w:p w14:paraId="54D794BA" w14:textId="77777777" w:rsidR="00595373" w:rsidRDefault="00595373"/>
    <w:p w14:paraId="6D7197A2" w14:textId="77777777" w:rsidR="00595373" w:rsidRDefault="00595373"/>
    <w:p w14:paraId="39D3098E" w14:textId="77777777" w:rsidR="00595373" w:rsidRDefault="00595373"/>
    <w:p w14:paraId="70224F0B" w14:textId="77777777" w:rsidR="00595373" w:rsidRDefault="00595373"/>
    <w:p w14:paraId="6F3F5D9E" w14:textId="77777777" w:rsidR="00595373" w:rsidRDefault="00595373"/>
    <w:p w14:paraId="6CF763B7" w14:textId="77777777" w:rsidR="00595373" w:rsidRDefault="00595373"/>
    <w:p w14:paraId="69B96448" w14:textId="77777777" w:rsidR="00595373" w:rsidRDefault="00595373"/>
    <w:p w14:paraId="0849014A" w14:textId="77777777" w:rsidR="00595373" w:rsidRDefault="00595373"/>
    <w:p w14:paraId="73C33345" w14:textId="77777777" w:rsidR="00E85845" w:rsidRDefault="00E85845" w:rsidP="008C057C">
      <w:pPr>
        <w:pStyle w:val="Inhaltsverzeichnisberschrift"/>
        <w:numPr>
          <w:ilvl w:val="0"/>
          <w:numId w:val="0"/>
        </w:numPr>
      </w:pPr>
      <w:r>
        <w:t>Inhaltsverzeichnis</w:t>
      </w:r>
    </w:p>
    <w:p w14:paraId="28D58014" w14:textId="77777777" w:rsidR="0087209D" w:rsidRDefault="00E85845">
      <w:pPr>
        <w:pStyle w:val="Verzeichnis1"/>
        <w:tabs>
          <w:tab w:val="left" w:pos="480"/>
          <w:tab w:val="right" w:leader="dot" w:pos="9062"/>
        </w:tabs>
        <w:rPr>
          <w:rFonts w:asciiTheme="minorHAnsi" w:eastAsiaTheme="minorEastAsia" w:hAnsiTheme="minorHAnsi" w:cstheme="minorBidi"/>
          <w:noProof/>
          <w:sz w:val="24"/>
          <w:szCs w:val="24"/>
          <w:lang w:eastAsia="de-DE"/>
        </w:rPr>
      </w:pPr>
      <w:r>
        <w:fldChar w:fldCharType="begin"/>
      </w:r>
      <w:r>
        <w:instrText xml:space="preserve"> TOC \o "1-3" \h \z \u </w:instrText>
      </w:r>
      <w:r>
        <w:fldChar w:fldCharType="separate"/>
      </w:r>
      <w:hyperlink w:anchor="_Toc446665392" w:history="1">
        <w:r w:rsidR="0087209D" w:rsidRPr="009C5701">
          <w:rPr>
            <w:rStyle w:val="Link"/>
            <w:noProof/>
          </w:rPr>
          <w:t>1</w:t>
        </w:r>
        <w:r w:rsidR="0087209D">
          <w:rPr>
            <w:rFonts w:asciiTheme="minorHAnsi" w:eastAsiaTheme="minorEastAsia" w:hAnsiTheme="minorHAnsi" w:cstheme="minorBidi"/>
            <w:noProof/>
            <w:sz w:val="24"/>
            <w:szCs w:val="24"/>
            <w:lang w:eastAsia="de-DE"/>
          </w:rPr>
          <w:tab/>
        </w:r>
        <w:r w:rsidR="0087209D" w:rsidRPr="009C5701">
          <w:rPr>
            <w:rStyle w:val="Link"/>
            <w:noProof/>
          </w:rPr>
          <w:t>Geltungsbereich und allgemeine Bedingungen</w:t>
        </w:r>
        <w:r w:rsidR="0087209D">
          <w:rPr>
            <w:noProof/>
            <w:webHidden/>
          </w:rPr>
          <w:tab/>
        </w:r>
        <w:r w:rsidR="0087209D">
          <w:rPr>
            <w:noProof/>
            <w:webHidden/>
          </w:rPr>
          <w:fldChar w:fldCharType="begin"/>
        </w:r>
        <w:r w:rsidR="0087209D">
          <w:rPr>
            <w:noProof/>
            <w:webHidden/>
          </w:rPr>
          <w:instrText xml:space="preserve"> PAGEREF _Toc446665392 \h </w:instrText>
        </w:r>
        <w:r w:rsidR="0087209D">
          <w:rPr>
            <w:noProof/>
            <w:webHidden/>
          </w:rPr>
        </w:r>
        <w:r w:rsidR="0087209D">
          <w:rPr>
            <w:noProof/>
            <w:webHidden/>
          </w:rPr>
          <w:fldChar w:fldCharType="separate"/>
        </w:r>
        <w:r w:rsidR="0087209D">
          <w:rPr>
            <w:noProof/>
            <w:webHidden/>
          </w:rPr>
          <w:t>2</w:t>
        </w:r>
        <w:r w:rsidR="0087209D">
          <w:rPr>
            <w:noProof/>
            <w:webHidden/>
          </w:rPr>
          <w:fldChar w:fldCharType="end"/>
        </w:r>
      </w:hyperlink>
    </w:p>
    <w:p w14:paraId="219F5A3B" w14:textId="77777777" w:rsidR="0087209D" w:rsidRDefault="00A24E85">
      <w:pPr>
        <w:pStyle w:val="Verzeichnis1"/>
        <w:tabs>
          <w:tab w:val="left" w:pos="480"/>
          <w:tab w:val="right" w:leader="dot" w:pos="9062"/>
        </w:tabs>
        <w:rPr>
          <w:rFonts w:asciiTheme="minorHAnsi" w:eastAsiaTheme="minorEastAsia" w:hAnsiTheme="minorHAnsi" w:cstheme="minorBidi"/>
          <w:noProof/>
          <w:sz w:val="24"/>
          <w:szCs w:val="24"/>
          <w:lang w:eastAsia="de-DE"/>
        </w:rPr>
      </w:pPr>
      <w:hyperlink w:anchor="_Toc446665393" w:history="1">
        <w:r w:rsidR="0087209D" w:rsidRPr="009C5701">
          <w:rPr>
            <w:rStyle w:val="Link"/>
            <w:noProof/>
          </w:rPr>
          <w:t>2</w:t>
        </w:r>
        <w:r w:rsidR="0087209D">
          <w:rPr>
            <w:rFonts w:asciiTheme="minorHAnsi" w:eastAsiaTheme="minorEastAsia" w:hAnsiTheme="minorHAnsi" w:cstheme="minorBidi"/>
            <w:noProof/>
            <w:sz w:val="24"/>
            <w:szCs w:val="24"/>
            <w:lang w:eastAsia="de-DE"/>
          </w:rPr>
          <w:tab/>
        </w:r>
        <w:r w:rsidR="0087209D" w:rsidRPr="009C5701">
          <w:rPr>
            <w:rStyle w:val="Link"/>
            <w:noProof/>
          </w:rPr>
          <w:t>Verfügbarkeit von IT-Sicherheitssystemen</w:t>
        </w:r>
        <w:r w:rsidR="0087209D">
          <w:rPr>
            <w:noProof/>
            <w:webHidden/>
          </w:rPr>
          <w:tab/>
        </w:r>
        <w:r w:rsidR="0087209D">
          <w:rPr>
            <w:noProof/>
            <w:webHidden/>
          </w:rPr>
          <w:fldChar w:fldCharType="begin"/>
        </w:r>
        <w:r w:rsidR="0087209D">
          <w:rPr>
            <w:noProof/>
            <w:webHidden/>
          </w:rPr>
          <w:instrText xml:space="preserve"> PAGEREF _Toc446665393 \h </w:instrText>
        </w:r>
        <w:r w:rsidR="0087209D">
          <w:rPr>
            <w:noProof/>
            <w:webHidden/>
          </w:rPr>
        </w:r>
        <w:r w:rsidR="0087209D">
          <w:rPr>
            <w:noProof/>
            <w:webHidden/>
          </w:rPr>
          <w:fldChar w:fldCharType="separate"/>
        </w:r>
        <w:r w:rsidR="0087209D">
          <w:rPr>
            <w:noProof/>
            <w:webHidden/>
          </w:rPr>
          <w:t>3</w:t>
        </w:r>
        <w:r w:rsidR="0087209D">
          <w:rPr>
            <w:noProof/>
            <w:webHidden/>
          </w:rPr>
          <w:fldChar w:fldCharType="end"/>
        </w:r>
      </w:hyperlink>
    </w:p>
    <w:p w14:paraId="7955508A" w14:textId="77777777" w:rsidR="0087209D" w:rsidRDefault="00A24E85">
      <w:pPr>
        <w:pStyle w:val="Verzeichnis1"/>
        <w:tabs>
          <w:tab w:val="left" w:pos="480"/>
          <w:tab w:val="right" w:leader="dot" w:pos="9062"/>
        </w:tabs>
        <w:rPr>
          <w:rFonts w:asciiTheme="minorHAnsi" w:eastAsiaTheme="minorEastAsia" w:hAnsiTheme="minorHAnsi" w:cstheme="minorBidi"/>
          <w:noProof/>
          <w:sz w:val="24"/>
          <w:szCs w:val="24"/>
          <w:lang w:eastAsia="de-DE"/>
        </w:rPr>
      </w:pPr>
      <w:hyperlink w:anchor="_Toc446665394" w:history="1">
        <w:r w:rsidR="0087209D" w:rsidRPr="009C5701">
          <w:rPr>
            <w:rStyle w:val="Link"/>
            <w:noProof/>
          </w:rPr>
          <w:t>3</w:t>
        </w:r>
        <w:r w:rsidR="0087209D">
          <w:rPr>
            <w:rFonts w:asciiTheme="minorHAnsi" w:eastAsiaTheme="minorEastAsia" w:hAnsiTheme="minorHAnsi" w:cstheme="minorBidi"/>
            <w:noProof/>
            <w:sz w:val="24"/>
            <w:szCs w:val="24"/>
            <w:lang w:eastAsia="de-DE"/>
          </w:rPr>
          <w:tab/>
        </w:r>
        <w:r w:rsidR="0087209D" w:rsidRPr="009C5701">
          <w:rPr>
            <w:rStyle w:val="Link"/>
            <w:noProof/>
          </w:rPr>
          <w:t>Umgang mit Sicherheitsvorfällen</w:t>
        </w:r>
        <w:r w:rsidR="0087209D">
          <w:rPr>
            <w:noProof/>
            <w:webHidden/>
          </w:rPr>
          <w:tab/>
        </w:r>
        <w:r w:rsidR="0087209D">
          <w:rPr>
            <w:noProof/>
            <w:webHidden/>
          </w:rPr>
          <w:fldChar w:fldCharType="begin"/>
        </w:r>
        <w:r w:rsidR="0087209D">
          <w:rPr>
            <w:noProof/>
            <w:webHidden/>
          </w:rPr>
          <w:instrText xml:space="preserve"> PAGEREF _Toc446665394 \h </w:instrText>
        </w:r>
        <w:r w:rsidR="0087209D">
          <w:rPr>
            <w:noProof/>
            <w:webHidden/>
          </w:rPr>
        </w:r>
        <w:r w:rsidR="0087209D">
          <w:rPr>
            <w:noProof/>
            <w:webHidden/>
          </w:rPr>
          <w:fldChar w:fldCharType="separate"/>
        </w:r>
        <w:r w:rsidR="0087209D">
          <w:rPr>
            <w:noProof/>
            <w:webHidden/>
          </w:rPr>
          <w:t>3</w:t>
        </w:r>
        <w:r w:rsidR="0087209D">
          <w:rPr>
            <w:noProof/>
            <w:webHidden/>
          </w:rPr>
          <w:fldChar w:fldCharType="end"/>
        </w:r>
      </w:hyperlink>
    </w:p>
    <w:p w14:paraId="58FFA66F" w14:textId="77777777" w:rsidR="0087209D" w:rsidRDefault="00A24E85">
      <w:pPr>
        <w:pStyle w:val="Verzeichnis1"/>
        <w:tabs>
          <w:tab w:val="left" w:pos="480"/>
          <w:tab w:val="right" w:leader="dot" w:pos="9062"/>
        </w:tabs>
        <w:rPr>
          <w:rFonts w:asciiTheme="minorHAnsi" w:eastAsiaTheme="minorEastAsia" w:hAnsiTheme="minorHAnsi" w:cstheme="minorBidi"/>
          <w:noProof/>
          <w:sz w:val="24"/>
          <w:szCs w:val="24"/>
          <w:lang w:eastAsia="de-DE"/>
        </w:rPr>
      </w:pPr>
      <w:hyperlink w:anchor="_Toc446665395" w:history="1">
        <w:r w:rsidR="0087209D" w:rsidRPr="009C5701">
          <w:rPr>
            <w:rStyle w:val="Link"/>
            <w:noProof/>
          </w:rPr>
          <w:t>4</w:t>
        </w:r>
        <w:r w:rsidR="0087209D">
          <w:rPr>
            <w:rFonts w:asciiTheme="minorHAnsi" w:eastAsiaTheme="minorEastAsia" w:hAnsiTheme="minorHAnsi" w:cstheme="minorBidi"/>
            <w:noProof/>
            <w:sz w:val="24"/>
            <w:szCs w:val="24"/>
            <w:lang w:eastAsia="de-DE"/>
          </w:rPr>
          <w:tab/>
        </w:r>
        <w:r w:rsidR="0087209D" w:rsidRPr="009C5701">
          <w:rPr>
            <w:rStyle w:val="Link"/>
            <w:noProof/>
          </w:rPr>
          <w:t>Umgang mit Sicherheitswarnungen</w:t>
        </w:r>
        <w:r w:rsidR="0087209D">
          <w:rPr>
            <w:noProof/>
            <w:webHidden/>
          </w:rPr>
          <w:tab/>
        </w:r>
        <w:r w:rsidR="0087209D">
          <w:rPr>
            <w:noProof/>
            <w:webHidden/>
          </w:rPr>
          <w:fldChar w:fldCharType="begin"/>
        </w:r>
        <w:r w:rsidR="0087209D">
          <w:rPr>
            <w:noProof/>
            <w:webHidden/>
          </w:rPr>
          <w:instrText xml:space="preserve"> PAGEREF _Toc446665395 \h </w:instrText>
        </w:r>
        <w:r w:rsidR="0087209D">
          <w:rPr>
            <w:noProof/>
            <w:webHidden/>
          </w:rPr>
        </w:r>
        <w:r w:rsidR="0087209D">
          <w:rPr>
            <w:noProof/>
            <w:webHidden/>
          </w:rPr>
          <w:fldChar w:fldCharType="separate"/>
        </w:r>
        <w:r w:rsidR="0087209D">
          <w:rPr>
            <w:noProof/>
            <w:webHidden/>
          </w:rPr>
          <w:t>3</w:t>
        </w:r>
        <w:r w:rsidR="0087209D">
          <w:rPr>
            <w:noProof/>
            <w:webHidden/>
          </w:rPr>
          <w:fldChar w:fldCharType="end"/>
        </w:r>
      </w:hyperlink>
    </w:p>
    <w:p w14:paraId="62A0C42B" w14:textId="77777777" w:rsidR="0087209D" w:rsidRDefault="00A24E85">
      <w:pPr>
        <w:pStyle w:val="Verzeichnis1"/>
        <w:tabs>
          <w:tab w:val="left" w:pos="480"/>
          <w:tab w:val="right" w:leader="dot" w:pos="9062"/>
        </w:tabs>
        <w:rPr>
          <w:rFonts w:asciiTheme="minorHAnsi" w:eastAsiaTheme="minorEastAsia" w:hAnsiTheme="minorHAnsi" w:cstheme="minorBidi"/>
          <w:noProof/>
          <w:sz w:val="24"/>
          <w:szCs w:val="24"/>
          <w:lang w:eastAsia="de-DE"/>
        </w:rPr>
      </w:pPr>
      <w:hyperlink w:anchor="_Toc446665396" w:history="1">
        <w:r w:rsidR="0087209D" w:rsidRPr="009C5701">
          <w:rPr>
            <w:rStyle w:val="Link"/>
            <w:noProof/>
          </w:rPr>
          <w:t>5</w:t>
        </w:r>
        <w:r w:rsidR="0087209D">
          <w:rPr>
            <w:rFonts w:asciiTheme="minorHAnsi" w:eastAsiaTheme="minorEastAsia" w:hAnsiTheme="minorHAnsi" w:cstheme="minorBidi"/>
            <w:noProof/>
            <w:sz w:val="24"/>
            <w:szCs w:val="24"/>
            <w:lang w:eastAsia="de-DE"/>
          </w:rPr>
          <w:tab/>
        </w:r>
        <w:r w:rsidR="0087209D" w:rsidRPr="009C5701">
          <w:rPr>
            <w:rStyle w:val="Link"/>
            <w:noProof/>
          </w:rPr>
          <w:t>Datenschutz</w:t>
        </w:r>
        <w:r w:rsidR="0087209D">
          <w:rPr>
            <w:noProof/>
            <w:webHidden/>
          </w:rPr>
          <w:tab/>
        </w:r>
        <w:r w:rsidR="0087209D">
          <w:rPr>
            <w:noProof/>
            <w:webHidden/>
          </w:rPr>
          <w:fldChar w:fldCharType="begin"/>
        </w:r>
        <w:r w:rsidR="0087209D">
          <w:rPr>
            <w:noProof/>
            <w:webHidden/>
          </w:rPr>
          <w:instrText xml:space="preserve"> PAGEREF _Toc446665396 \h </w:instrText>
        </w:r>
        <w:r w:rsidR="0087209D">
          <w:rPr>
            <w:noProof/>
            <w:webHidden/>
          </w:rPr>
        </w:r>
        <w:r w:rsidR="0087209D">
          <w:rPr>
            <w:noProof/>
            <w:webHidden/>
          </w:rPr>
          <w:fldChar w:fldCharType="separate"/>
        </w:r>
        <w:r w:rsidR="0087209D">
          <w:rPr>
            <w:noProof/>
            <w:webHidden/>
          </w:rPr>
          <w:t>4</w:t>
        </w:r>
        <w:r w:rsidR="0087209D">
          <w:rPr>
            <w:noProof/>
            <w:webHidden/>
          </w:rPr>
          <w:fldChar w:fldCharType="end"/>
        </w:r>
      </w:hyperlink>
    </w:p>
    <w:p w14:paraId="4C928946" w14:textId="77777777" w:rsidR="0087209D" w:rsidRDefault="00A24E85">
      <w:pPr>
        <w:pStyle w:val="Verzeichnis1"/>
        <w:tabs>
          <w:tab w:val="left" w:pos="480"/>
          <w:tab w:val="right" w:leader="dot" w:pos="9062"/>
        </w:tabs>
        <w:rPr>
          <w:rFonts w:asciiTheme="minorHAnsi" w:eastAsiaTheme="minorEastAsia" w:hAnsiTheme="minorHAnsi" w:cstheme="minorBidi"/>
          <w:noProof/>
          <w:sz w:val="24"/>
          <w:szCs w:val="24"/>
          <w:lang w:eastAsia="de-DE"/>
        </w:rPr>
      </w:pPr>
      <w:hyperlink w:anchor="_Toc446665397" w:history="1">
        <w:r w:rsidR="0087209D" w:rsidRPr="009C5701">
          <w:rPr>
            <w:rStyle w:val="Link"/>
            <w:noProof/>
          </w:rPr>
          <w:t>6</w:t>
        </w:r>
        <w:r w:rsidR="0087209D">
          <w:rPr>
            <w:rFonts w:asciiTheme="minorHAnsi" w:eastAsiaTheme="minorEastAsia" w:hAnsiTheme="minorHAnsi" w:cstheme="minorBidi"/>
            <w:noProof/>
            <w:sz w:val="24"/>
            <w:szCs w:val="24"/>
            <w:lang w:eastAsia="de-DE"/>
          </w:rPr>
          <w:tab/>
        </w:r>
        <w:r w:rsidR="0087209D" w:rsidRPr="009C5701">
          <w:rPr>
            <w:rStyle w:val="Link"/>
            <w:noProof/>
          </w:rPr>
          <w:t>IT Service Management</w:t>
        </w:r>
        <w:r w:rsidR="0087209D">
          <w:rPr>
            <w:noProof/>
            <w:webHidden/>
          </w:rPr>
          <w:tab/>
        </w:r>
        <w:r w:rsidR="0087209D">
          <w:rPr>
            <w:noProof/>
            <w:webHidden/>
          </w:rPr>
          <w:fldChar w:fldCharType="begin"/>
        </w:r>
        <w:r w:rsidR="0087209D">
          <w:rPr>
            <w:noProof/>
            <w:webHidden/>
          </w:rPr>
          <w:instrText xml:space="preserve"> PAGEREF _Toc446665397 \h </w:instrText>
        </w:r>
        <w:r w:rsidR="0087209D">
          <w:rPr>
            <w:noProof/>
            <w:webHidden/>
          </w:rPr>
        </w:r>
        <w:r w:rsidR="0087209D">
          <w:rPr>
            <w:noProof/>
            <w:webHidden/>
          </w:rPr>
          <w:fldChar w:fldCharType="separate"/>
        </w:r>
        <w:r w:rsidR="0087209D">
          <w:rPr>
            <w:noProof/>
            <w:webHidden/>
          </w:rPr>
          <w:t>5</w:t>
        </w:r>
        <w:r w:rsidR="0087209D">
          <w:rPr>
            <w:noProof/>
            <w:webHidden/>
          </w:rPr>
          <w:fldChar w:fldCharType="end"/>
        </w:r>
      </w:hyperlink>
    </w:p>
    <w:p w14:paraId="2CA93299" w14:textId="77777777" w:rsidR="0087209D" w:rsidRDefault="00A24E85">
      <w:pPr>
        <w:pStyle w:val="Verzeichnis2"/>
        <w:tabs>
          <w:tab w:val="left" w:pos="960"/>
          <w:tab w:val="right" w:leader="dot" w:pos="9062"/>
        </w:tabs>
        <w:rPr>
          <w:rFonts w:asciiTheme="minorHAnsi" w:eastAsiaTheme="minorEastAsia" w:hAnsiTheme="minorHAnsi" w:cstheme="minorBidi"/>
          <w:noProof/>
          <w:sz w:val="24"/>
          <w:szCs w:val="24"/>
          <w:lang w:eastAsia="de-DE"/>
        </w:rPr>
      </w:pPr>
      <w:hyperlink w:anchor="_Toc446665398" w:history="1">
        <w:r w:rsidR="0087209D" w:rsidRPr="009C5701">
          <w:rPr>
            <w:rStyle w:val="Link"/>
            <w:noProof/>
          </w:rPr>
          <w:t>6.1</w:t>
        </w:r>
        <w:r w:rsidR="0087209D">
          <w:rPr>
            <w:rFonts w:asciiTheme="minorHAnsi" w:eastAsiaTheme="minorEastAsia" w:hAnsiTheme="minorHAnsi" w:cstheme="minorBidi"/>
            <w:noProof/>
            <w:sz w:val="24"/>
            <w:szCs w:val="24"/>
            <w:lang w:eastAsia="de-DE"/>
          </w:rPr>
          <w:tab/>
        </w:r>
        <w:r w:rsidR="0087209D" w:rsidRPr="009C5701">
          <w:rPr>
            <w:rStyle w:val="Link"/>
            <w:noProof/>
          </w:rPr>
          <w:t>Capacity Management</w:t>
        </w:r>
        <w:r w:rsidR="0087209D">
          <w:rPr>
            <w:noProof/>
            <w:webHidden/>
          </w:rPr>
          <w:tab/>
        </w:r>
        <w:r w:rsidR="0087209D">
          <w:rPr>
            <w:noProof/>
            <w:webHidden/>
          </w:rPr>
          <w:fldChar w:fldCharType="begin"/>
        </w:r>
        <w:r w:rsidR="0087209D">
          <w:rPr>
            <w:noProof/>
            <w:webHidden/>
          </w:rPr>
          <w:instrText xml:space="preserve"> PAGEREF _Toc446665398 \h </w:instrText>
        </w:r>
        <w:r w:rsidR="0087209D">
          <w:rPr>
            <w:noProof/>
            <w:webHidden/>
          </w:rPr>
        </w:r>
        <w:r w:rsidR="0087209D">
          <w:rPr>
            <w:noProof/>
            <w:webHidden/>
          </w:rPr>
          <w:fldChar w:fldCharType="separate"/>
        </w:r>
        <w:r w:rsidR="0087209D">
          <w:rPr>
            <w:noProof/>
            <w:webHidden/>
          </w:rPr>
          <w:t>5</w:t>
        </w:r>
        <w:r w:rsidR="0087209D">
          <w:rPr>
            <w:noProof/>
            <w:webHidden/>
          </w:rPr>
          <w:fldChar w:fldCharType="end"/>
        </w:r>
      </w:hyperlink>
    </w:p>
    <w:p w14:paraId="7206EE32" w14:textId="77777777" w:rsidR="0087209D" w:rsidRDefault="00A24E85">
      <w:pPr>
        <w:pStyle w:val="Verzeichnis2"/>
        <w:tabs>
          <w:tab w:val="left" w:pos="960"/>
          <w:tab w:val="right" w:leader="dot" w:pos="9062"/>
        </w:tabs>
        <w:rPr>
          <w:rFonts w:asciiTheme="minorHAnsi" w:eastAsiaTheme="minorEastAsia" w:hAnsiTheme="minorHAnsi" w:cstheme="minorBidi"/>
          <w:noProof/>
          <w:sz w:val="24"/>
          <w:szCs w:val="24"/>
          <w:lang w:eastAsia="de-DE"/>
        </w:rPr>
      </w:pPr>
      <w:hyperlink w:anchor="_Toc446665399" w:history="1">
        <w:r w:rsidR="0087209D" w:rsidRPr="009C5701">
          <w:rPr>
            <w:rStyle w:val="Link"/>
            <w:noProof/>
          </w:rPr>
          <w:t>6.2</w:t>
        </w:r>
        <w:r w:rsidR="0087209D">
          <w:rPr>
            <w:rFonts w:asciiTheme="minorHAnsi" w:eastAsiaTheme="minorEastAsia" w:hAnsiTheme="minorHAnsi" w:cstheme="minorBidi"/>
            <w:noProof/>
            <w:sz w:val="24"/>
            <w:szCs w:val="24"/>
            <w:lang w:eastAsia="de-DE"/>
          </w:rPr>
          <w:tab/>
        </w:r>
        <w:r w:rsidR="0087209D" w:rsidRPr="009C5701">
          <w:rPr>
            <w:rStyle w:val="Link"/>
            <w:noProof/>
          </w:rPr>
          <w:t>Continuity Management</w:t>
        </w:r>
        <w:r w:rsidR="0087209D">
          <w:rPr>
            <w:noProof/>
            <w:webHidden/>
          </w:rPr>
          <w:tab/>
        </w:r>
        <w:r w:rsidR="0087209D">
          <w:rPr>
            <w:noProof/>
            <w:webHidden/>
          </w:rPr>
          <w:fldChar w:fldCharType="begin"/>
        </w:r>
        <w:r w:rsidR="0087209D">
          <w:rPr>
            <w:noProof/>
            <w:webHidden/>
          </w:rPr>
          <w:instrText xml:space="preserve"> PAGEREF _Toc446665399 \h </w:instrText>
        </w:r>
        <w:r w:rsidR="0087209D">
          <w:rPr>
            <w:noProof/>
            <w:webHidden/>
          </w:rPr>
        </w:r>
        <w:r w:rsidR="0087209D">
          <w:rPr>
            <w:noProof/>
            <w:webHidden/>
          </w:rPr>
          <w:fldChar w:fldCharType="separate"/>
        </w:r>
        <w:r w:rsidR="0087209D">
          <w:rPr>
            <w:noProof/>
            <w:webHidden/>
          </w:rPr>
          <w:t>5</w:t>
        </w:r>
        <w:r w:rsidR="0087209D">
          <w:rPr>
            <w:noProof/>
            <w:webHidden/>
          </w:rPr>
          <w:fldChar w:fldCharType="end"/>
        </w:r>
      </w:hyperlink>
    </w:p>
    <w:p w14:paraId="0EECF378" w14:textId="77777777" w:rsidR="0087209D" w:rsidRDefault="00A24E85">
      <w:pPr>
        <w:pStyle w:val="Verzeichnis2"/>
        <w:tabs>
          <w:tab w:val="left" w:pos="960"/>
          <w:tab w:val="right" w:leader="dot" w:pos="9062"/>
        </w:tabs>
        <w:rPr>
          <w:rFonts w:asciiTheme="minorHAnsi" w:eastAsiaTheme="minorEastAsia" w:hAnsiTheme="minorHAnsi" w:cstheme="minorBidi"/>
          <w:noProof/>
          <w:sz w:val="24"/>
          <w:szCs w:val="24"/>
          <w:lang w:eastAsia="de-DE"/>
        </w:rPr>
      </w:pPr>
      <w:hyperlink w:anchor="_Toc446665400" w:history="1">
        <w:r w:rsidR="0087209D" w:rsidRPr="009C5701">
          <w:rPr>
            <w:rStyle w:val="Link"/>
            <w:noProof/>
          </w:rPr>
          <w:t>6.3</w:t>
        </w:r>
        <w:r w:rsidR="0087209D">
          <w:rPr>
            <w:rFonts w:asciiTheme="minorHAnsi" w:eastAsiaTheme="minorEastAsia" w:hAnsiTheme="minorHAnsi" w:cstheme="minorBidi"/>
            <w:noProof/>
            <w:sz w:val="24"/>
            <w:szCs w:val="24"/>
            <w:lang w:eastAsia="de-DE"/>
          </w:rPr>
          <w:tab/>
        </w:r>
        <w:r w:rsidR="0087209D" w:rsidRPr="009C5701">
          <w:rPr>
            <w:rStyle w:val="Link"/>
            <w:noProof/>
          </w:rPr>
          <w:t>Change Management</w:t>
        </w:r>
        <w:r w:rsidR="0087209D">
          <w:rPr>
            <w:noProof/>
            <w:webHidden/>
          </w:rPr>
          <w:tab/>
        </w:r>
        <w:r w:rsidR="0087209D">
          <w:rPr>
            <w:noProof/>
            <w:webHidden/>
          </w:rPr>
          <w:fldChar w:fldCharType="begin"/>
        </w:r>
        <w:r w:rsidR="0087209D">
          <w:rPr>
            <w:noProof/>
            <w:webHidden/>
          </w:rPr>
          <w:instrText xml:space="preserve"> PAGEREF _Toc446665400 \h </w:instrText>
        </w:r>
        <w:r w:rsidR="0087209D">
          <w:rPr>
            <w:noProof/>
            <w:webHidden/>
          </w:rPr>
        </w:r>
        <w:r w:rsidR="0087209D">
          <w:rPr>
            <w:noProof/>
            <w:webHidden/>
          </w:rPr>
          <w:fldChar w:fldCharType="separate"/>
        </w:r>
        <w:r w:rsidR="0087209D">
          <w:rPr>
            <w:noProof/>
            <w:webHidden/>
          </w:rPr>
          <w:t>5</w:t>
        </w:r>
        <w:r w:rsidR="0087209D">
          <w:rPr>
            <w:noProof/>
            <w:webHidden/>
          </w:rPr>
          <w:fldChar w:fldCharType="end"/>
        </w:r>
      </w:hyperlink>
    </w:p>
    <w:p w14:paraId="33450D73" w14:textId="77777777" w:rsidR="0087209D" w:rsidRDefault="00A24E85">
      <w:pPr>
        <w:pStyle w:val="Verzeichnis2"/>
        <w:tabs>
          <w:tab w:val="left" w:pos="960"/>
          <w:tab w:val="right" w:leader="dot" w:pos="9062"/>
        </w:tabs>
        <w:rPr>
          <w:rFonts w:asciiTheme="minorHAnsi" w:eastAsiaTheme="minorEastAsia" w:hAnsiTheme="minorHAnsi" w:cstheme="minorBidi"/>
          <w:noProof/>
          <w:sz w:val="24"/>
          <w:szCs w:val="24"/>
          <w:lang w:eastAsia="de-DE"/>
        </w:rPr>
      </w:pPr>
      <w:hyperlink w:anchor="_Toc446665401" w:history="1">
        <w:r w:rsidR="0087209D" w:rsidRPr="009C5701">
          <w:rPr>
            <w:rStyle w:val="Link"/>
            <w:noProof/>
          </w:rPr>
          <w:t>6.4</w:t>
        </w:r>
        <w:r w:rsidR="0087209D">
          <w:rPr>
            <w:rFonts w:asciiTheme="minorHAnsi" w:eastAsiaTheme="minorEastAsia" w:hAnsiTheme="minorHAnsi" w:cstheme="minorBidi"/>
            <w:noProof/>
            <w:sz w:val="24"/>
            <w:szCs w:val="24"/>
            <w:lang w:eastAsia="de-DE"/>
          </w:rPr>
          <w:tab/>
        </w:r>
        <w:r w:rsidR="0087209D" w:rsidRPr="009C5701">
          <w:rPr>
            <w:rStyle w:val="Link"/>
            <w:noProof/>
          </w:rPr>
          <w:t>Configuration Management</w:t>
        </w:r>
        <w:r w:rsidR="0087209D">
          <w:rPr>
            <w:noProof/>
            <w:webHidden/>
          </w:rPr>
          <w:tab/>
        </w:r>
        <w:r w:rsidR="0087209D">
          <w:rPr>
            <w:noProof/>
            <w:webHidden/>
          </w:rPr>
          <w:fldChar w:fldCharType="begin"/>
        </w:r>
        <w:r w:rsidR="0087209D">
          <w:rPr>
            <w:noProof/>
            <w:webHidden/>
          </w:rPr>
          <w:instrText xml:space="preserve"> PAGEREF _Toc446665401 \h </w:instrText>
        </w:r>
        <w:r w:rsidR="0087209D">
          <w:rPr>
            <w:noProof/>
            <w:webHidden/>
          </w:rPr>
        </w:r>
        <w:r w:rsidR="0087209D">
          <w:rPr>
            <w:noProof/>
            <w:webHidden/>
          </w:rPr>
          <w:fldChar w:fldCharType="separate"/>
        </w:r>
        <w:r w:rsidR="0087209D">
          <w:rPr>
            <w:noProof/>
            <w:webHidden/>
          </w:rPr>
          <w:t>6</w:t>
        </w:r>
        <w:r w:rsidR="0087209D">
          <w:rPr>
            <w:noProof/>
            <w:webHidden/>
          </w:rPr>
          <w:fldChar w:fldCharType="end"/>
        </w:r>
      </w:hyperlink>
    </w:p>
    <w:p w14:paraId="7B21B9DC" w14:textId="77777777" w:rsidR="0087209D" w:rsidRDefault="00A24E85">
      <w:pPr>
        <w:pStyle w:val="Verzeichnis2"/>
        <w:tabs>
          <w:tab w:val="left" w:pos="960"/>
          <w:tab w:val="right" w:leader="dot" w:pos="9062"/>
        </w:tabs>
        <w:rPr>
          <w:rFonts w:asciiTheme="minorHAnsi" w:eastAsiaTheme="minorEastAsia" w:hAnsiTheme="minorHAnsi" w:cstheme="minorBidi"/>
          <w:noProof/>
          <w:sz w:val="24"/>
          <w:szCs w:val="24"/>
          <w:lang w:eastAsia="de-DE"/>
        </w:rPr>
      </w:pPr>
      <w:hyperlink w:anchor="_Toc446665402" w:history="1">
        <w:r w:rsidR="0087209D" w:rsidRPr="009C5701">
          <w:rPr>
            <w:rStyle w:val="Link"/>
            <w:noProof/>
            <w:lang w:val="en-GB"/>
          </w:rPr>
          <w:t>6.5</w:t>
        </w:r>
        <w:r w:rsidR="0087209D">
          <w:rPr>
            <w:rFonts w:asciiTheme="minorHAnsi" w:eastAsiaTheme="minorEastAsia" w:hAnsiTheme="minorHAnsi" w:cstheme="minorBidi"/>
            <w:noProof/>
            <w:sz w:val="24"/>
            <w:szCs w:val="24"/>
            <w:lang w:eastAsia="de-DE"/>
          </w:rPr>
          <w:tab/>
        </w:r>
        <w:r w:rsidR="0087209D" w:rsidRPr="009C5701">
          <w:rPr>
            <w:rStyle w:val="Link"/>
            <w:noProof/>
            <w:lang w:val="en-GB"/>
          </w:rPr>
          <w:t>Computer Emergency Response Team (CERT)</w:t>
        </w:r>
        <w:r w:rsidR="0087209D">
          <w:rPr>
            <w:noProof/>
            <w:webHidden/>
          </w:rPr>
          <w:tab/>
        </w:r>
        <w:r w:rsidR="0087209D">
          <w:rPr>
            <w:noProof/>
            <w:webHidden/>
          </w:rPr>
          <w:fldChar w:fldCharType="begin"/>
        </w:r>
        <w:r w:rsidR="0087209D">
          <w:rPr>
            <w:noProof/>
            <w:webHidden/>
          </w:rPr>
          <w:instrText xml:space="preserve"> PAGEREF _Toc446665402 \h </w:instrText>
        </w:r>
        <w:r w:rsidR="0087209D">
          <w:rPr>
            <w:noProof/>
            <w:webHidden/>
          </w:rPr>
        </w:r>
        <w:r w:rsidR="0087209D">
          <w:rPr>
            <w:noProof/>
            <w:webHidden/>
          </w:rPr>
          <w:fldChar w:fldCharType="separate"/>
        </w:r>
        <w:r w:rsidR="0087209D">
          <w:rPr>
            <w:noProof/>
            <w:webHidden/>
          </w:rPr>
          <w:t>6</w:t>
        </w:r>
        <w:r w:rsidR="0087209D">
          <w:rPr>
            <w:noProof/>
            <w:webHidden/>
          </w:rPr>
          <w:fldChar w:fldCharType="end"/>
        </w:r>
      </w:hyperlink>
    </w:p>
    <w:p w14:paraId="57E418E4" w14:textId="77777777" w:rsidR="0087209D" w:rsidRDefault="00A24E85">
      <w:pPr>
        <w:pStyle w:val="Verzeichnis1"/>
        <w:tabs>
          <w:tab w:val="left" w:pos="480"/>
          <w:tab w:val="right" w:leader="dot" w:pos="9062"/>
        </w:tabs>
        <w:rPr>
          <w:rFonts w:asciiTheme="minorHAnsi" w:eastAsiaTheme="minorEastAsia" w:hAnsiTheme="minorHAnsi" w:cstheme="minorBidi"/>
          <w:noProof/>
          <w:sz w:val="24"/>
          <w:szCs w:val="24"/>
          <w:lang w:eastAsia="de-DE"/>
        </w:rPr>
      </w:pPr>
      <w:hyperlink w:anchor="_Toc446665403" w:history="1">
        <w:r w:rsidR="0087209D" w:rsidRPr="009C5701">
          <w:rPr>
            <w:rStyle w:val="Link"/>
            <w:noProof/>
          </w:rPr>
          <w:t>7</w:t>
        </w:r>
        <w:r w:rsidR="0087209D">
          <w:rPr>
            <w:rFonts w:asciiTheme="minorHAnsi" w:eastAsiaTheme="minorEastAsia" w:hAnsiTheme="minorHAnsi" w:cstheme="minorBidi"/>
            <w:noProof/>
            <w:sz w:val="24"/>
            <w:szCs w:val="24"/>
            <w:lang w:eastAsia="de-DE"/>
          </w:rPr>
          <w:tab/>
        </w:r>
        <w:r w:rsidR="0087209D" w:rsidRPr="009C5701">
          <w:rPr>
            <w:rStyle w:val="Link"/>
            <w:noProof/>
          </w:rPr>
          <w:t>Administration</w:t>
        </w:r>
        <w:r w:rsidR="0087209D">
          <w:rPr>
            <w:noProof/>
            <w:webHidden/>
          </w:rPr>
          <w:tab/>
        </w:r>
        <w:r w:rsidR="0087209D">
          <w:rPr>
            <w:noProof/>
            <w:webHidden/>
          </w:rPr>
          <w:fldChar w:fldCharType="begin"/>
        </w:r>
        <w:r w:rsidR="0087209D">
          <w:rPr>
            <w:noProof/>
            <w:webHidden/>
          </w:rPr>
          <w:instrText xml:space="preserve"> PAGEREF _Toc446665403 \h </w:instrText>
        </w:r>
        <w:r w:rsidR="0087209D">
          <w:rPr>
            <w:noProof/>
            <w:webHidden/>
          </w:rPr>
        </w:r>
        <w:r w:rsidR="0087209D">
          <w:rPr>
            <w:noProof/>
            <w:webHidden/>
          </w:rPr>
          <w:fldChar w:fldCharType="separate"/>
        </w:r>
        <w:r w:rsidR="0087209D">
          <w:rPr>
            <w:noProof/>
            <w:webHidden/>
          </w:rPr>
          <w:t>6</w:t>
        </w:r>
        <w:r w:rsidR="0087209D">
          <w:rPr>
            <w:noProof/>
            <w:webHidden/>
          </w:rPr>
          <w:fldChar w:fldCharType="end"/>
        </w:r>
      </w:hyperlink>
    </w:p>
    <w:p w14:paraId="649BD94A" w14:textId="77777777" w:rsidR="0087209D" w:rsidRDefault="00A24E85">
      <w:pPr>
        <w:pStyle w:val="Verzeichnis1"/>
        <w:tabs>
          <w:tab w:val="left" w:pos="480"/>
          <w:tab w:val="right" w:leader="dot" w:pos="9062"/>
        </w:tabs>
        <w:rPr>
          <w:rFonts w:asciiTheme="minorHAnsi" w:eastAsiaTheme="minorEastAsia" w:hAnsiTheme="minorHAnsi" w:cstheme="minorBidi"/>
          <w:noProof/>
          <w:sz w:val="24"/>
          <w:szCs w:val="24"/>
          <w:lang w:eastAsia="de-DE"/>
        </w:rPr>
      </w:pPr>
      <w:hyperlink w:anchor="_Toc446665404" w:history="1">
        <w:r w:rsidR="0087209D" w:rsidRPr="009C5701">
          <w:rPr>
            <w:rStyle w:val="Link"/>
            <w:noProof/>
          </w:rPr>
          <w:t>8</w:t>
        </w:r>
        <w:r w:rsidR="0087209D">
          <w:rPr>
            <w:rFonts w:asciiTheme="minorHAnsi" w:eastAsiaTheme="minorEastAsia" w:hAnsiTheme="minorHAnsi" w:cstheme="minorBidi"/>
            <w:noProof/>
            <w:sz w:val="24"/>
            <w:szCs w:val="24"/>
            <w:lang w:eastAsia="de-DE"/>
          </w:rPr>
          <w:tab/>
        </w:r>
        <w:r w:rsidR="0087209D" w:rsidRPr="009C5701">
          <w:rPr>
            <w:rStyle w:val="Link"/>
            <w:noProof/>
          </w:rPr>
          <w:t>Schutz von Informationen</w:t>
        </w:r>
        <w:r w:rsidR="0087209D">
          <w:rPr>
            <w:noProof/>
            <w:webHidden/>
          </w:rPr>
          <w:tab/>
        </w:r>
        <w:r w:rsidR="0087209D">
          <w:rPr>
            <w:noProof/>
            <w:webHidden/>
          </w:rPr>
          <w:fldChar w:fldCharType="begin"/>
        </w:r>
        <w:r w:rsidR="0087209D">
          <w:rPr>
            <w:noProof/>
            <w:webHidden/>
          </w:rPr>
          <w:instrText xml:space="preserve"> PAGEREF _Toc446665404 \h </w:instrText>
        </w:r>
        <w:r w:rsidR="0087209D">
          <w:rPr>
            <w:noProof/>
            <w:webHidden/>
          </w:rPr>
        </w:r>
        <w:r w:rsidR="0087209D">
          <w:rPr>
            <w:noProof/>
            <w:webHidden/>
          </w:rPr>
          <w:fldChar w:fldCharType="separate"/>
        </w:r>
        <w:r w:rsidR="0087209D">
          <w:rPr>
            <w:noProof/>
            <w:webHidden/>
          </w:rPr>
          <w:t>6</w:t>
        </w:r>
        <w:r w:rsidR="0087209D">
          <w:rPr>
            <w:noProof/>
            <w:webHidden/>
          </w:rPr>
          <w:fldChar w:fldCharType="end"/>
        </w:r>
      </w:hyperlink>
    </w:p>
    <w:p w14:paraId="49EBCC64" w14:textId="77777777" w:rsidR="0087209D" w:rsidRDefault="00A24E85">
      <w:pPr>
        <w:pStyle w:val="Verzeichnis1"/>
        <w:tabs>
          <w:tab w:val="left" w:pos="480"/>
          <w:tab w:val="right" w:leader="dot" w:pos="9062"/>
        </w:tabs>
        <w:rPr>
          <w:rFonts w:asciiTheme="minorHAnsi" w:eastAsiaTheme="minorEastAsia" w:hAnsiTheme="minorHAnsi" w:cstheme="minorBidi"/>
          <w:noProof/>
          <w:sz w:val="24"/>
          <w:szCs w:val="24"/>
          <w:lang w:eastAsia="de-DE"/>
        </w:rPr>
      </w:pPr>
      <w:hyperlink w:anchor="_Toc446665405" w:history="1">
        <w:r w:rsidR="0087209D" w:rsidRPr="009C5701">
          <w:rPr>
            <w:rStyle w:val="Link"/>
            <w:noProof/>
          </w:rPr>
          <w:t>9</w:t>
        </w:r>
        <w:r w:rsidR="0087209D">
          <w:rPr>
            <w:rFonts w:asciiTheme="minorHAnsi" w:eastAsiaTheme="minorEastAsia" w:hAnsiTheme="minorHAnsi" w:cstheme="minorBidi"/>
            <w:noProof/>
            <w:sz w:val="24"/>
            <w:szCs w:val="24"/>
            <w:lang w:eastAsia="de-DE"/>
          </w:rPr>
          <w:tab/>
        </w:r>
        <w:r w:rsidR="0087209D" w:rsidRPr="009C5701">
          <w:rPr>
            <w:rStyle w:val="Link"/>
            <w:noProof/>
          </w:rPr>
          <w:t>Datensicherung (Backup)</w:t>
        </w:r>
        <w:r w:rsidR="0087209D">
          <w:rPr>
            <w:noProof/>
            <w:webHidden/>
          </w:rPr>
          <w:tab/>
        </w:r>
        <w:r w:rsidR="0087209D">
          <w:rPr>
            <w:noProof/>
            <w:webHidden/>
          </w:rPr>
          <w:fldChar w:fldCharType="begin"/>
        </w:r>
        <w:r w:rsidR="0087209D">
          <w:rPr>
            <w:noProof/>
            <w:webHidden/>
          </w:rPr>
          <w:instrText xml:space="preserve"> PAGEREF _Toc446665405 \h </w:instrText>
        </w:r>
        <w:r w:rsidR="0087209D">
          <w:rPr>
            <w:noProof/>
            <w:webHidden/>
          </w:rPr>
        </w:r>
        <w:r w:rsidR="0087209D">
          <w:rPr>
            <w:noProof/>
            <w:webHidden/>
          </w:rPr>
          <w:fldChar w:fldCharType="separate"/>
        </w:r>
        <w:r w:rsidR="0087209D">
          <w:rPr>
            <w:noProof/>
            <w:webHidden/>
          </w:rPr>
          <w:t>7</w:t>
        </w:r>
        <w:r w:rsidR="0087209D">
          <w:rPr>
            <w:noProof/>
            <w:webHidden/>
          </w:rPr>
          <w:fldChar w:fldCharType="end"/>
        </w:r>
      </w:hyperlink>
    </w:p>
    <w:p w14:paraId="760CF05E" w14:textId="77777777" w:rsidR="0087209D" w:rsidRDefault="00A24E85">
      <w:pPr>
        <w:pStyle w:val="Verzeichnis1"/>
        <w:tabs>
          <w:tab w:val="left" w:pos="480"/>
          <w:tab w:val="right" w:leader="dot" w:pos="9062"/>
        </w:tabs>
        <w:rPr>
          <w:rFonts w:asciiTheme="minorHAnsi" w:eastAsiaTheme="minorEastAsia" w:hAnsiTheme="minorHAnsi" w:cstheme="minorBidi"/>
          <w:noProof/>
          <w:sz w:val="24"/>
          <w:szCs w:val="24"/>
          <w:lang w:eastAsia="de-DE"/>
        </w:rPr>
      </w:pPr>
      <w:hyperlink w:anchor="_Toc446665406" w:history="1">
        <w:r w:rsidR="0087209D" w:rsidRPr="009C5701">
          <w:rPr>
            <w:rStyle w:val="Link"/>
            <w:noProof/>
            <w:lang w:eastAsia="de-DE"/>
          </w:rPr>
          <w:t>10</w:t>
        </w:r>
        <w:r w:rsidR="0087209D">
          <w:rPr>
            <w:rFonts w:asciiTheme="minorHAnsi" w:eastAsiaTheme="minorEastAsia" w:hAnsiTheme="minorHAnsi" w:cstheme="minorBidi"/>
            <w:noProof/>
            <w:sz w:val="24"/>
            <w:szCs w:val="24"/>
            <w:lang w:eastAsia="de-DE"/>
          </w:rPr>
          <w:tab/>
        </w:r>
        <w:r w:rsidR="0087209D" w:rsidRPr="009C5701">
          <w:rPr>
            <w:rStyle w:val="Link"/>
            <w:noProof/>
            <w:lang w:eastAsia="de-DE"/>
          </w:rPr>
          <w:t>Security Audits</w:t>
        </w:r>
        <w:r w:rsidR="0087209D">
          <w:rPr>
            <w:noProof/>
            <w:webHidden/>
          </w:rPr>
          <w:tab/>
        </w:r>
        <w:r w:rsidR="0087209D">
          <w:rPr>
            <w:noProof/>
            <w:webHidden/>
          </w:rPr>
          <w:fldChar w:fldCharType="begin"/>
        </w:r>
        <w:r w:rsidR="0087209D">
          <w:rPr>
            <w:noProof/>
            <w:webHidden/>
          </w:rPr>
          <w:instrText xml:space="preserve"> PAGEREF _Toc446665406 \h </w:instrText>
        </w:r>
        <w:r w:rsidR="0087209D">
          <w:rPr>
            <w:noProof/>
            <w:webHidden/>
          </w:rPr>
        </w:r>
        <w:r w:rsidR="0087209D">
          <w:rPr>
            <w:noProof/>
            <w:webHidden/>
          </w:rPr>
          <w:fldChar w:fldCharType="separate"/>
        </w:r>
        <w:r w:rsidR="0087209D">
          <w:rPr>
            <w:noProof/>
            <w:webHidden/>
          </w:rPr>
          <w:t>7</w:t>
        </w:r>
        <w:r w:rsidR="0087209D">
          <w:rPr>
            <w:noProof/>
            <w:webHidden/>
          </w:rPr>
          <w:fldChar w:fldCharType="end"/>
        </w:r>
      </w:hyperlink>
    </w:p>
    <w:p w14:paraId="696E3065" w14:textId="77777777" w:rsidR="0087209D" w:rsidRDefault="00A24E85">
      <w:pPr>
        <w:pStyle w:val="Verzeichnis1"/>
        <w:tabs>
          <w:tab w:val="left" w:pos="480"/>
          <w:tab w:val="right" w:leader="dot" w:pos="9062"/>
        </w:tabs>
        <w:rPr>
          <w:rFonts w:asciiTheme="minorHAnsi" w:eastAsiaTheme="minorEastAsia" w:hAnsiTheme="minorHAnsi" w:cstheme="minorBidi"/>
          <w:noProof/>
          <w:sz w:val="24"/>
          <w:szCs w:val="24"/>
          <w:lang w:eastAsia="de-DE"/>
        </w:rPr>
      </w:pPr>
      <w:hyperlink w:anchor="_Toc446665407" w:history="1">
        <w:r w:rsidR="0087209D" w:rsidRPr="009C5701">
          <w:rPr>
            <w:rStyle w:val="Link"/>
            <w:noProof/>
          </w:rPr>
          <w:t>11</w:t>
        </w:r>
        <w:r w:rsidR="0087209D">
          <w:rPr>
            <w:rFonts w:asciiTheme="minorHAnsi" w:eastAsiaTheme="minorEastAsia" w:hAnsiTheme="minorHAnsi" w:cstheme="minorBidi"/>
            <w:noProof/>
            <w:sz w:val="24"/>
            <w:szCs w:val="24"/>
            <w:lang w:eastAsia="de-DE"/>
          </w:rPr>
          <w:tab/>
        </w:r>
        <w:r w:rsidR="0087209D" w:rsidRPr="009C5701">
          <w:rPr>
            <w:rStyle w:val="Link"/>
            <w:noProof/>
          </w:rPr>
          <w:t>Reporting</w:t>
        </w:r>
        <w:r w:rsidR="0087209D">
          <w:rPr>
            <w:noProof/>
            <w:webHidden/>
          </w:rPr>
          <w:tab/>
        </w:r>
        <w:r w:rsidR="0087209D">
          <w:rPr>
            <w:noProof/>
            <w:webHidden/>
          </w:rPr>
          <w:fldChar w:fldCharType="begin"/>
        </w:r>
        <w:r w:rsidR="0087209D">
          <w:rPr>
            <w:noProof/>
            <w:webHidden/>
          </w:rPr>
          <w:instrText xml:space="preserve"> PAGEREF _Toc446665407 \h </w:instrText>
        </w:r>
        <w:r w:rsidR="0087209D">
          <w:rPr>
            <w:noProof/>
            <w:webHidden/>
          </w:rPr>
        </w:r>
        <w:r w:rsidR="0087209D">
          <w:rPr>
            <w:noProof/>
            <w:webHidden/>
          </w:rPr>
          <w:fldChar w:fldCharType="separate"/>
        </w:r>
        <w:r w:rsidR="0087209D">
          <w:rPr>
            <w:noProof/>
            <w:webHidden/>
          </w:rPr>
          <w:t>8</w:t>
        </w:r>
        <w:r w:rsidR="0087209D">
          <w:rPr>
            <w:noProof/>
            <w:webHidden/>
          </w:rPr>
          <w:fldChar w:fldCharType="end"/>
        </w:r>
      </w:hyperlink>
    </w:p>
    <w:p w14:paraId="43438269" w14:textId="77777777" w:rsidR="0087209D" w:rsidRDefault="00A24E85">
      <w:pPr>
        <w:pStyle w:val="Verzeichnis1"/>
        <w:tabs>
          <w:tab w:val="left" w:pos="480"/>
          <w:tab w:val="right" w:leader="dot" w:pos="9062"/>
        </w:tabs>
        <w:rPr>
          <w:rFonts w:asciiTheme="minorHAnsi" w:eastAsiaTheme="minorEastAsia" w:hAnsiTheme="minorHAnsi" w:cstheme="minorBidi"/>
          <w:noProof/>
          <w:sz w:val="24"/>
          <w:szCs w:val="24"/>
          <w:lang w:eastAsia="de-DE"/>
        </w:rPr>
      </w:pPr>
      <w:hyperlink w:anchor="_Toc446665408" w:history="1">
        <w:r w:rsidR="0087209D" w:rsidRPr="009C5701">
          <w:rPr>
            <w:rStyle w:val="Link"/>
            <w:noProof/>
          </w:rPr>
          <w:t>12</w:t>
        </w:r>
        <w:r w:rsidR="0087209D">
          <w:rPr>
            <w:rFonts w:asciiTheme="minorHAnsi" w:eastAsiaTheme="minorEastAsia" w:hAnsiTheme="minorHAnsi" w:cstheme="minorBidi"/>
            <w:noProof/>
            <w:sz w:val="24"/>
            <w:szCs w:val="24"/>
            <w:lang w:eastAsia="de-DE"/>
          </w:rPr>
          <w:tab/>
        </w:r>
        <w:r w:rsidR="0087209D" w:rsidRPr="009C5701">
          <w:rPr>
            <w:rStyle w:val="Link"/>
            <w:noProof/>
          </w:rPr>
          <w:t>Fachkenntnisse des Service Providers</w:t>
        </w:r>
        <w:r w:rsidR="0087209D">
          <w:rPr>
            <w:noProof/>
            <w:webHidden/>
          </w:rPr>
          <w:tab/>
        </w:r>
        <w:r w:rsidR="0087209D">
          <w:rPr>
            <w:noProof/>
            <w:webHidden/>
          </w:rPr>
          <w:fldChar w:fldCharType="begin"/>
        </w:r>
        <w:r w:rsidR="0087209D">
          <w:rPr>
            <w:noProof/>
            <w:webHidden/>
          </w:rPr>
          <w:instrText xml:space="preserve"> PAGEREF _Toc446665408 \h </w:instrText>
        </w:r>
        <w:r w:rsidR="0087209D">
          <w:rPr>
            <w:noProof/>
            <w:webHidden/>
          </w:rPr>
        </w:r>
        <w:r w:rsidR="0087209D">
          <w:rPr>
            <w:noProof/>
            <w:webHidden/>
          </w:rPr>
          <w:fldChar w:fldCharType="separate"/>
        </w:r>
        <w:r w:rsidR="0087209D">
          <w:rPr>
            <w:noProof/>
            <w:webHidden/>
          </w:rPr>
          <w:t>8</w:t>
        </w:r>
        <w:r w:rsidR="0087209D">
          <w:rPr>
            <w:noProof/>
            <w:webHidden/>
          </w:rPr>
          <w:fldChar w:fldCharType="end"/>
        </w:r>
      </w:hyperlink>
    </w:p>
    <w:p w14:paraId="0FEEC951" w14:textId="77777777" w:rsidR="0087209D" w:rsidRDefault="00A24E85">
      <w:pPr>
        <w:pStyle w:val="Verzeichnis1"/>
        <w:tabs>
          <w:tab w:val="left" w:pos="480"/>
          <w:tab w:val="right" w:leader="dot" w:pos="9062"/>
        </w:tabs>
        <w:rPr>
          <w:rFonts w:asciiTheme="minorHAnsi" w:eastAsiaTheme="minorEastAsia" w:hAnsiTheme="minorHAnsi" w:cstheme="minorBidi"/>
          <w:noProof/>
          <w:sz w:val="24"/>
          <w:szCs w:val="24"/>
          <w:lang w:eastAsia="de-DE"/>
        </w:rPr>
      </w:pPr>
      <w:hyperlink w:anchor="_Toc446665409" w:history="1">
        <w:r w:rsidR="0087209D" w:rsidRPr="009C5701">
          <w:rPr>
            <w:rStyle w:val="Link"/>
            <w:noProof/>
          </w:rPr>
          <w:t>13</w:t>
        </w:r>
        <w:r w:rsidR="0087209D">
          <w:rPr>
            <w:rFonts w:asciiTheme="minorHAnsi" w:eastAsiaTheme="minorEastAsia" w:hAnsiTheme="minorHAnsi" w:cstheme="minorBidi"/>
            <w:noProof/>
            <w:sz w:val="24"/>
            <w:szCs w:val="24"/>
            <w:lang w:eastAsia="de-DE"/>
          </w:rPr>
          <w:tab/>
        </w:r>
        <w:r w:rsidR="0087209D" w:rsidRPr="009C5701">
          <w:rPr>
            <w:rStyle w:val="Link"/>
            <w:noProof/>
          </w:rPr>
          <w:t>Subunternehmer</w:t>
        </w:r>
        <w:r w:rsidR="0087209D">
          <w:rPr>
            <w:noProof/>
            <w:webHidden/>
          </w:rPr>
          <w:tab/>
        </w:r>
        <w:r w:rsidR="0087209D">
          <w:rPr>
            <w:noProof/>
            <w:webHidden/>
          </w:rPr>
          <w:fldChar w:fldCharType="begin"/>
        </w:r>
        <w:r w:rsidR="0087209D">
          <w:rPr>
            <w:noProof/>
            <w:webHidden/>
          </w:rPr>
          <w:instrText xml:space="preserve"> PAGEREF _Toc446665409 \h </w:instrText>
        </w:r>
        <w:r w:rsidR="0087209D">
          <w:rPr>
            <w:noProof/>
            <w:webHidden/>
          </w:rPr>
        </w:r>
        <w:r w:rsidR="0087209D">
          <w:rPr>
            <w:noProof/>
            <w:webHidden/>
          </w:rPr>
          <w:fldChar w:fldCharType="separate"/>
        </w:r>
        <w:r w:rsidR="0087209D">
          <w:rPr>
            <w:noProof/>
            <w:webHidden/>
          </w:rPr>
          <w:t>8</w:t>
        </w:r>
        <w:r w:rsidR="0087209D">
          <w:rPr>
            <w:noProof/>
            <w:webHidden/>
          </w:rPr>
          <w:fldChar w:fldCharType="end"/>
        </w:r>
      </w:hyperlink>
    </w:p>
    <w:p w14:paraId="56ADF3BA" w14:textId="77777777" w:rsidR="0087209D" w:rsidRDefault="00A24E85">
      <w:pPr>
        <w:pStyle w:val="Verzeichnis1"/>
        <w:tabs>
          <w:tab w:val="left" w:pos="480"/>
          <w:tab w:val="right" w:leader="dot" w:pos="9062"/>
        </w:tabs>
        <w:rPr>
          <w:rFonts w:asciiTheme="minorHAnsi" w:eastAsiaTheme="minorEastAsia" w:hAnsiTheme="minorHAnsi" w:cstheme="minorBidi"/>
          <w:noProof/>
          <w:sz w:val="24"/>
          <w:szCs w:val="24"/>
          <w:lang w:eastAsia="de-DE"/>
        </w:rPr>
      </w:pPr>
      <w:hyperlink w:anchor="_Toc446665410" w:history="1">
        <w:r w:rsidR="0087209D" w:rsidRPr="009C5701">
          <w:rPr>
            <w:rStyle w:val="Link"/>
            <w:noProof/>
          </w:rPr>
          <w:t>14</w:t>
        </w:r>
        <w:r w:rsidR="0087209D">
          <w:rPr>
            <w:rFonts w:asciiTheme="minorHAnsi" w:eastAsiaTheme="minorEastAsia" w:hAnsiTheme="minorHAnsi" w:cstheme="minorBidi"/>
            <w:noProof/>
            <w:sz w:val="24"/>
            <w:szCs w:val="24"/>
            <w:lang w:eastAsia="de-DE"/>
          </w:rPr>
          <w:tab/>
        </w:r>
        <w:r w:rsidR="0087209D" w:rsidRPr="009C5701">
          <w:rPr>
            <w:rStyle w:val="Link"/>
            <w:noProof/>
          </w:rPr>
          <w:t>Mitwirkungspflichten des Auftraggebers</w:t>
        </w:r>
        <w:r w:rsidR="0087209D">
          <w:rPr>
            <w:noProof/>
            <w:webHidden/>
          </w:rPr>
          <w:tab/>
        </w:r>
        <w:r w:rsidR="0087209D">
          <w:rPr>
            <w:noProof/>
            <w:webHidden/>
          </w:rPr>
          <w:fldChar w:fldCharType="begin"/>
        </w:r>
        <w:r w:rsidR="0087209D">
          <w:rPr>
            <w:noProof/>
            <w:webHidden/>
          </w:rPr>
          <w:instrText xml:space="preserve"> PAGEREF _Toc446665410 \h </w:instrText>
        </w:r>
        <w:r w:rsidR="0087209D">
          <w:rPr>
            <w:noProof/>
            <w:webHidden/>
          </w:rPr>
        </w:r>
        <w:r w:rsidR="0087209D">
          <w:rPr>
            <w:noProof/>
            <w:webHidden/>
          </w:rPr>
          <w:fldChar w:fldCharType="separate"/>
        </w:r>
        <w:r w:rsidR="0087209D">
          <w:rPr>
            <w:noProof/>
            <w:webHidden/>
          </w:rPr>
          <w:t>8</w:t>
        </w:r>
        <w:r w:rsidR="0087209D">
          <w:rPr>
            <w:noProof/>
            <w:webHidden/>
          </w:rPr>
          <w:fldChar w:fldCharType="end"/>
        </w:r>
      </w:hyperlink>
    </w:p>
    <w:p w14:paraId="6A6C1576" w14:textId="77777777" w:rsidR="0087209D" w:rsidRDefault="00A24E85">
      <w:pPr>
        <w:pStyle w:val="Verzeichnis1"/>
        <w:tabs>
          <w:tab w:val="left" w:pos="480"/>
          <w:tab w:val="right" w:leader="dot" w:pos="9062"/>
        </w:tabs>
        <w:rPr>
          <w:rFonts w:asciiTheme="minorHAnsi" w:eastAsiaTheme="minorEastAsia" w:hAnsiTheme="minorHAnsi" w:cstheme="minorBidi"/>
          <w:noProof/>
          <w:sz w:val="24"/>
          <w:szCs w:val="24"/>
          <w:lang w:eastAsia="de-DE"/>
        </w:rPr>
      </w:pPr>
      <w:hyperlink w:anchor="_Toc446665411" w:history="1">
        <w:r w:rsidR="0087209D" w:rsidRPr="009C5701">
          <w:rPr>
            <w:rStyle w:val="Link"/>
            <w:noProof/>
            <w:lang w:eastAsia="de-DE"/>
          </w:rPr>
          <w:t>15</w:t>
        </w:r>
        <w:r w:rsidR="0087209D">
          <w:rPr>
            <w:rFonts w:asciiTheme="minorHAnsi" w:eastAsiaTheme="minorEastAsia" w:hAnsiTheme="minorHAnsi" w:cstheme="minorBidi"/>
            <w:noProof/>
            <w:sz w:val="24"/>
            <w:szCs w:val="24"/>
            <w:lang w:eastAsia="de-DE"/>
          </w:rPr>
          <w:tab/>
        </w:r>
        <w:r w:rsidR="0087209D" w:rsidRPr="009C5701">
          <w:rPr>
            <w:rStyle w:val="Link"/>
            <w:noProof/>
            <w:lang w:eastAsia="de-DE"/>
          </w:rPr>
          <w:t>Weitere Richtlinien</w:t>
        </w:r>
        <w:r w:rsidR="0087209D">
          <w:rPr>
            <w:noProof/>
            <w:webHidden/>
          </w:rPr>
          <w:tab/>
        </w:r>
        <w:r w:rsidR="0087209D">
          <w:rPr>
            <w:noProof/>
            <w:webHidden/>
          </w:rPr>
          <w:fldChar w:fldCharType="begin"/>
        </w:r>
        <w:r w:rsidR="0087209D">
          <w:rPr>
            <w:noProof/>
            <w:webHidden/>
          </w:rPr>
          <w:instrText xml:space="preserve"> PAGEREF _Toc446665411 \h </w:instrText>
        </w:r>
        <w:r w:rsidR="0087209D">
          <w:rPr>
            <w:noProof/>
            <w:webHidden/>
          </w:rPr>
        </w:r>
        <w:r w:rsidR="0087209D">
          <w:rPr>
            <w:noProof/>
            <w:webHidden/>
          </w:rPr>
          <w:fldChar w:fldCharType="separate"/>
        </w:r>
        <w:r w:rsidR="0087209D">
          <w:rPr>
            <w:noProof/>
            <w:webHidden/>
          </w:rPr>
          <w:t>8</w:t>
        </w:r>
        <w:r w:rsidR="0087209D">
          <w:rPr>
            <w:noProof/>
            <w:webHidden/>
          </w:rPr>
          <w:fldChar w:fldCharType="end"/>
        </w:r>
      </w:hyperlink>
    </w:p>
    <w:p w14:paraId="4F80497A" w14:textId="77777777" w:rsidR="0087209D" w:rsidRDefault="00A24E85">
      <w:pPr>
        <w:pStyle w:val="Verzeichnis1"/>
        <w:tabs>
          <w:tab w:val="left" w:pos="480"/>
          <w:tab w:val="right" w:leader="dot" w:pos="9062"/>
        </w:tabs>
        <w:rPr>
          <w:rFonts w:asciiTheme="minorHAnsi" w:eastAsiaTheme="minorEastAsia" w:hAnsiTheme="minorHAnsi" w:cstheme="minorBidi"/>
          <w:noProof/>
          <w:sz w:val="24"/>
          <w:szCs w:val="24"/>
          <w:lang w:eastAsia="de-DE"/>
        </w:rPr>
      </w:pPr>
      <w:hyperlink w:anchor="_Toc446665412" w:history="1">
        <w:r w:rsidR="0087209D" w:rsidRPr="009C5701">
          <w:rPr>
            <w:rStyle w:val="Link"/>
            <w:noProof/>
          </w:rPr>
          <w:t>16</w:t>
        </w:r>
        <w:r w:rsidR="0087209D">
          <w:rPr>
            <w:rFonts w:asciiTheme="minorHAnsi" w:eastAsiaTheme="minorEastAsia" w:hAnsiTheme="minorHAnsi" w:cstheme="minorBidi"/>
            <w:noProof/>
            <w:sz w:val="24"/>
            <w:szCs w:val="24"/>
            <w:lang w:eastAsia="de-DE"/>
          </w:rPr>
          <w:tab/>
        </w:r>
        <w:r w:rsidR="0087209D" w:rsidRPr="009C5701">
          <w:rPr>
            <w:rStyle w:val="Link"/>
            <w:noProof/>
          </w:rPr>
          <w:t>Ansprechpartner</w:t>
        </w:r>
        <w:r w:rsidR="0087209D">
          <w:rPr>
            <w:noProof/>
            <w:webHidden/>
          </w:rPr>
          <w:tab/>
        </w:r>
        <w:r w:rsidR="0087209D">
          <w:rPr>
            <w:noProof/>
            <w:webHidden/>
          </w:rPr>
          <w:fldChar w:fldCharType="begin"/>
        </w:r>
        <w:r w:rsidR="0087209D">
          <w:rPr>
            <w:noProof/>
            <w:webHidden/>
          </w:rPr>
          <w:instrText xml:space="preserve"> PAGEREF _Toc446665412 \h </w:instrText>
        </w:r>
        <w:r w:rsidR="0087209D">
          <w:rPr>
            <w:noProof/>
            <w:webHidden/>
          </w:rPr>
        </w:r>
        <w:r w:rsidR="0087209D">
          <w:rPr>
            <w:noProof/>
            <w:webHidden/>
          </w:rPr>
          <w:fldChar w:fldCharType="separate"/>
        </w:r>
        <w:r w:rsidR="0087209D">
          <w:rPr>
            <w:noProof/>
            <w:webHidden/>
          </w:rPr>
          <w:t>8</w:t>
        </w:r>
        <w:r w:rsidR="0087209D">
          <w:rPr>
            <w:noProof/>
            <w:webHidden/>
          </w:rPr>
          <w:fldChar w:fldCharType="end"/>
        </w:r>
      </w:hyperlink>
    </w:p>
    <w:p w14:paraId="2BEA4EA1" w14:textId="77777777" w:rsidR="0087209D" w:rsidRDefault="00E85845" w:rsidP="0087209D">
      <w:r>
        <w:fldChar w:fldCharType="end"/>
      </w:r>
      <w:bookmarkStart w:id="0" w:name="_Toc446663283"/>
      <w:bookmarkStart w:id="1" w:name="_Toc446665392"/>
    </w:p>
    <w:p w14:paraId="1C42E2ED" w14:textId="77777777" w:rsidR="0087209D" w:rsidRDefault="0087209D">
      <w:pPr>
        <w:spacing w:after="0" w:line="240" w:lineRule="auto"/>
        <w:rPr>
          <w:rFonts w:ascii="Cambria" w:eastAsia="Times New Roman" w:hAnsi="Cambria"/>
          <w:b/>
          <w:bCs/>
          <w:kern w:val="32"/>
          <w:sz w:val="32"/>
          <w:szCs w:val="32"/>
        </w:rPr>
      </w:pPr>
      <w:r>
        <w:br w:type="page"/>
      </w:r>
    </w:p>
    <w:p w14:paraId="2B676D61" w14:textId="56D74A1B" w:rsidR="00803B40" w:rsidRDefault="00803B40" w:rsidP="00F37472">
      <w:pPr>
        <w:pStyle w:val="berschrift1"/>
      </w:pPr>
      <w:r w:rsidRPr="00240127">
        <w:lastRenderedPageBreak/>
        <w:t>Geltungsbereich</w:t>
      </w:r>
      <w:r>
        <w:t xml:space="preserve"> und allgemeine Bedingungen</w:t>
      </w:r>
      <w:bookmarkEnd w:id="0"/>
      <w:bookmarkEnd w:id="1"/>
    </w:p>
    <w:p w14:paraId="47373EE1" w14:textId="219649D9" w:rsidR="00803B40" w:rsidRDefault="00803B40" w:rsidP="00803B40">
      <w:r w:rsidRPr="00240127">
        <w:t xml:space="preserve">Das SSLA regelt die </w:t>
      </w:r>
      <w:r>
        <w:t>Sicherheit von Informationen und Systemen</w:t>
      </w:r>
      <w:r w:rsidRPr="00240127">
        <w:t xml:space="preserve">, die zur Erbringung der im Vertrag </w:t>
      </w:r>
      <w:r w:rsidR="004546B4">
        <w:t>zwischen dem Auftraggeber oder Kunden (in diesem Dokument „</w:t>
      </w:r>
      <w:r w:rsidR="004546B4" w:rsidRPr="00E23F28">
        <w:rPr>
          <w:b/>
        </w:rPr>
        <w:t>Auftraggeber</w:t>
      </w:r>
      <w:r w:rsidR="004546B4">
        <w:t>“ genannt) und dem IT-Dienstleister bzw. Lieferanten (in diesem Dokument „</w:t>
      </w:r>
      <w:r w:rsidR="004546B4" w:rsidRPr="00E23F28">
        <w:rPr>
          <w:b/>
        </w:rPr>
        <w:t>Service Provider</w:t>
      </w:r>
      <w:r w:rsidR="004546B4">
        <w:t xml:space="preserve">“ genannt) </w:t>
      </w:r>
      <w:r w:rsidRPr="00240127">
        <w:t xml:space="preserve">über </w:t>
      </w:r>
      <w:r>
        <w:t>IT-Dienstleistung</w:t>
      </w:r>
      <w:r w:rsidRPr="00240127">
        <w:t xml:space="preserve"> genannten Services erforderlich sind</w:t>
      </w:r>
      <w:r>
        <w:t>,</w:t>
      </w:r>
      <w:r w:rsidRPr="00240127">
        <w:t xml:space="preserve"> sowie die Einhaltung von Prozessen, die Überprüfung von Vorgaben und die bei </w:t>
      </w:r>
      <w:r>
        <w:t>Sicher</w:t>
      </w:r>
      <w:r w:rsidR="0087209D">
        <w:t>h</w:t>
      </w:r>
      <w:r>
        <w:t xml:space="preserve">eitsvorfällen </w:t>
      </w:r>
      <w:r w:rsidRPr="00240127">
        <w:t>verpflichtenden Kommunikations- und Eskalationswege.</w:t>
      </w:r>
    </w:p>
    <w:p w14:paraId="4D1AADFA" w14:textId="1AD7B86B" w:rsidR="00692E75" w:rsidRDefault="00692E75" w:rsidP="00803B40">
      <w:r>
        <w:t xml:space="preserve">Der Auftraggeber hat einen fachkundigen Ansprechpartner für alle </w:t>
      </w:r>
      <w:r w:rsidR="002B4D16">
        <w:t xml:space="preserve">Sicherheitsaspekte zu benennen. </w:t>
      </w:r>
    </w:p>
    <w:p w14:paraId="576C14F3" w14:textId="11645073" w:rsidR="00803B40" w:rsidRDefault="00803B40" w:rsidP="00803B40">
      <w:r>
        <w:t xml:space="preserve">Das SSLA ist Bestandteil des </w:t>
      </w:r>
      <w:r>
        <w:rPr>
          <w:highlight w:val="yellow"/>
        </w:rPr>
        <w:t>[Vertrags]</w:t>
      </w:r>
      <w:r>
        <w:t xml:space="preserve"> vom [</w:t>
      </w:r>
      <w:r>
        <w:rPr>
          <w:highlight w:val="yellow"/>
        </w:rPr>
        <w:t>bitte einfügen</w:t>
      </w:r>
      <w:r>
        <w:t xml:space="preserve">]. </w:t>
      </w:r>
    </w:p>
    <w:p w14:paraId="4C4CF38A" w14:textId="3CA1F3A0" w:rsidR="004546B4" w:rsidRDefault="004546B4" w:rsidP="00803B40">
      <w:r>
        <w:t>Ist der Service Provider nicht in der Lage, die in diesem Doku</w:t>
      </w:r>
      <w:r w:rsidR="00503CBE">
        <w:t xml:space="preserve">ment geforderten Anforderungen </w:t>
      </w:r>
      <w:r>
        <w:t>umzusetzen, so übernimmt er die vollumfängliche Haftung von durch Sicherheitsvorfälle entstandene Schäden, welche durch die Nicht-Beachtung dieser Anforderungen ermöglicht wurden.</w:t>
      </w:r>
    </w:p>
    <w:p w14:paraId="686C887D" w14:textId="77777777" w:rsidR="00803B40" w:rsidRDefault="00803B40" w:rsidP="00803B40">
      <w:pPr>
        <w:pStyle w:val="berschrift1"/>
        <w:tabs>
          <w:tab w:val="num" w:pos="432"/>
          <w:tab w:val="left" w:pos="567"/>
        </w:tabs>
        <w:spacing w:line="240" w:lineRule="auto"/>
      </w:pPr>
      <w:bookmarkStart w:id="2" w:name="_Toc88186501"/>
      <w:bookmarkStart w:id="3" w:name="_Toc88186639"/>
      <w:bookmarkStart w:id="4" w:name="_Toc130183581"/>
      <w:bookmarkStart w:id="5" w:name="_Toc446663284"/>
      <w:bookmarkStart w:id="6" w:name="_Toc446665393"/>
      <w:r w:rsidRPr="00240127">
        <w:t>Verfügbarkeit</w:t>
      </w:r>
      <w:bookmarkEnd w:id="2"/>
      <w:bookmarkEnd w:id="3"/>
      <w:r>
        <w:t xml:space="preserve"> von IT-Sicherheitssystemen</w:t>
      </w:r>
      <w:bookmarkEnd w:id="4"/>
      <w:bookmarkEnd w:id="5"/>
      <w:bookmarkEnd w:id="6"/>
    </w:p>
    <w:p w14:paraId="53DAE533" w14:textId="28F5D61B" w:rsidR="00803B40" w:rsidRPr="00240127" w:rsidRDefault="00803B40" w:rsidP="00803B40">
      <w:r>
        <w:t>E</w:t>
      </w:r>
      <w:r w:rsidRPr="00240127">
        <w:t xml:space="preserve">ine </w:t>
      </w:r>
      <w:r w:rsidRPr="00240127">
        <w:rPr>
          <w:iCs/>
        </w:rPr>
        <w:t>Min</w:t>
      </w:r>
      <w:r>
        <w:rPr>
          <w:iCs/>
        </w:rPr>
        <w:t>destver</w:t>
      </w:r>
      <w:r w:rsidRPr="00240127">
        <w:rPr>
          <w:iCs/>
        </w:rPr>
        <w:t>fügbarkeit</w:t>
      </w:r>
      <w:r w:rsidRPr="00240127">
        <w:t xml:space="preserve"> von </w:t>
      </w:r>
      <w:r w:rsidR="0087209D" w:rsidRPr="0087209D">
        <w:rPr>
          <w:iCs/>
          <w:highlight w:val="yellow"/>
        </w:rPr>
        <w:t>99</w:t>
      </w:r>
      <w:r w:rsidRPr="0087209D">
        <w:rPr>
          <w:iCs/>
          <w:highlight w:val="yellow"/>
        </w:rPr>
        <w:t>% pro Monat</w:t>
      </w:r>
      <w:r w:rsidRPr="00240127">
        <w:t xml:space="preserve"> </w:t>
      </w:r>
      <w:r w:rsidR="00F37472">
        <w:t xml:space="preserve">für alle </w:t>
      </w:r>
      <w:r>
        <w:t>Systeme</w:t>
      </w:r>
      <w:r w:rsidR="00F37472">
        <w:t xml:space="preserve">, </w:t>
      </w:r>
      <w:r w:rsidR="00F37472" w:rsidRPr="00240127">
        <w:t>die zur sicheren Erbringung der im Vertrag über Systembetreuung genannten Dienstleistungen und Services erforderlich sind</w:t>
      </w:r>
      <w:r w:rsidR="00F37472">
        <w:t>,</w:t>
      </w:r>
      <w:r>
        <w:t xml:space="preserve"> ist </w:t>
      </w:r>
      <w:r w:rsidRPr="00240127">
        <w:t>durch den Service Provider sicherzustellen.</w:t>
      </w:r>
    </w:p>
    <w:p w14:paraId="0F97B60A" w14:textId="1FBEBE98" w:rsidR="00803B40" w:rsidRDefault="00F37472" w:rsidP="00803B40">
      <w:pPr>
        <w:pStyle w:val="berschrift1"/>
        <w:tabs>
          <w:tab w:val="num" w:pos="432"/>
          <w:tab w:val="left" w:pos="567"/>
        </w:tabs>
        <w:spacing w:line="240" w:lineRule="auto"/>
      </w:pPr>
      <w:bookmarkStart w:id="7" w:name="_Toc88186514"/>
      <w:bookmarkStart w:id="8" w:name="_Toc88186652"/>
      <w:bookmarkStart w:id="9" w:name="_Ref88191602"/>
      <w:bookmarkStart w:id="10" w:name="_Ref122769461"/>
      <w:bookmarkStart w:id="11" w:name="_Toc130183582"/>
      <w:bookmarkStart w:id="12" w:name="_Ref133207800"/>
      <w:bookmarkStart w:id="13" w:name="_Toc446663285"/>
      <w:bookmarkStart w:id="14" w:name="_Toc446665394"/>
      <w:r>
        <w:t xml:space="preserve">Umgang mit </w:t>
      </w:r>
      <w:bookmarkEnd w:id="7"/>
      <w:bookmarkEnd w:id="8"/>
      <w:bookmarkEnd w:id="9"/>
      <w:bookmarkEnd w:id="10"/>
      <w:bookmarkEnd w:id="11"/>
      <w:bookmarkEnd w:id="12"/>
      <w:r w:rsidR="00803B40">
        <w:t>Sicherheitsvorfällen</w:t>
      </w:r>
      <w:bookmarkEnd w:id="13"/>
      <w:bookmarkEnd w:id="14"/>
    </w:p>
    <w:p w14:paraId="140273F3" w14:textId="5F80F91A" w:rsidR="00803B40" w:rsidRDefault="00803B40" w:rsidP="00803B40">
      <w:r w:rsidRPr="00240127">
        <w:t xml:space="preserve">Ein </w:t>
      </w:r>
      <w:r>
        <w:t>Sicherheitsvorfall</w:t>
      </w:r>
      <w:r w:rsidRPr="00240127">
        <w:t xml:space="preserve"> ist </w:t>
      </w:r>
      <w:r w:rsidR="00776112">
        <w:t>ein Ereignis, welches</w:t>
      </w:r>
      <w:r w:rsidRPr="00240127">
        <w:t xml:space="preserve"> </w:t>
      </w:r>
      <w:r w:rsidR="00776112">
        <w:t>die</w:t>
      </w:r>
      <w:r w:rsidR="00776112" w:rsidRPr="00240127">
        <w:t xml:space="preserve"> </w:t>
      </w:r>
      <w:r w:rsidRPr="00240127">
        <w:t>Verfügbarkeit (</w:t>
      </w:r>
      <w:proofErr w:type="spellStart"/>
      <w:r w:rsidRPr="00240127">
        <w:t>availability</w:t>
      </w:r>
      <w:proofErr w:type="spellEnd"/>
      <w:r w:rsidRPr="00240127">
        <w:t>), Integrität (</w:t>
      </w:r>
      <w:proofErr w:type="spellStart"/>
      <w:r w:rsidRPr="00240127">
        <w:t>integrity</w:t>
      </w:r>
      <w:proofErr w:type="spellEnd"/>
      <w:r w:rsidRPr="00240127">
        <w:t xml:space="preserve">) </w:t>
      </w:r>
      <w:r>
        <w:t>oder</w:t>
      </w:r>
      <w:r w:rsidRPr="00240127">
        <w:t xml:space="preserve"> Vertraulichkeit (</w:t>
      </w:r>
      <w:proofErr w:type="spellStart"/>
      <w:r w:rsidRPr="00240127">
        <w:t>confidentiality</w:t>
      </w:r>
      <w:proofErr w:type="spellEnd"/>
      <w:r w:rsidRPr="00240127">
        <w:t>) von Informationen</w:t>
      </w:r>
      <w:r>
        <w:t>,</w:t>
      </w:r>
      <w:r w:rsidRPr="00240127">
        <w:t xml:space="preserve"> </w:t>
      </w:r>
      <w:r w:rsidR="00776112">
        <w:t xml:space="preserve">Geschäftsprozessen, IT-Diensten, IT-Systemen oder IT-Anwendungen mit </w:t>
      </w:r>
      <w:proofErr w:type="spellStart"/>
      <w:r w:rsidR="00776112">
        <w:t>mit</w:t>
      </w:r>
      <w:proofErr w:type="spellEnd"/>
      <w:r w:rsidR="00776112">
        <w:t xml:space="preserve"> hohem oder sehr hohem Schutzbedarf derart beeinträchtigt, dass ein großer Schaden entstehen kann.</w:t>
      </w:r>
      <w:r w:rsidR="00776112">
        <w:rPr>
          <w:rStyle w:val="Funotenzeichen"/>
        </w:rPr>
        <w:footnoteReference w:id="1"/>
      </w:r>
      <w:r w:rsidR="00776112">
        <w:t xml:space="preserve"> </w:t>
      </w:r>
    </w:p>
    <w:p w14:paraId="2BE09104" w14:textId="772B9CD3" w:rsidR="00803B40" w:rsidRDefault="00776112" w:rsidP="00803B40">
      <w:r>
        <w:t>Ein</w:t>
      </w:r>
      <w:r w:rsidR="00803B40">
        <w:t xml:space="preserve"> Sicherheitsvorfall </w:t>
      </w:r>
      <w:r>
        <w:t xml:space="preserve">hat eine HOHE </w:t>
      </w:r>
      <w:r w:rsidR="00803B40">
        <w:t>Kritikalität</w:t>
      </w:r>
      <w:r>
        <w:t>,</w:t>
      </w:r>
      <w:r w:rsidR="00803B40">
        <w:t xml:space="preserve"> </w:t>
      </w:r>
      <w:r>
        <w:t xml:space="preserve">wenn </w:t>
      </w:r>
      <w:r w:rsidR="00803B40">
        <w:t>ein oder mehrere Systeme oder Netzwerkkomponenten des Service Providers</w:t>
      </w:r>
      <w:r>
        <w:t xml:space="preserve"> </w:t>
      </w:r>
      <w:r w:rsidR="00302C7D">
        <w:t>erfolgreich angegriffen werden</w:t>
      </w:r>
      <w:r w:rsidR="00803B40">
        <w:t xml:space="preserve"> oder durch negative Berichterstattung ein Image-Schaden des Auftraggebers herbeigeführt wurde oder wird. Dabei ist es unerheblich, ob der Angriff über das Internet oder die vom Service Provider zu verantwortende Infrastruktur erfolgt, und ob er von Dritten, Angestellten oder Subunternehmers des Service Providers ausgeführt wird. </w:t>
      </w:r>
    </w:p>
    <w:p w14:paraId="3744136B" w14:textId="12AED127" w:rsidR="00D64F89" w:rsidRDefault="00D64F89" w:rsidP="00803B40">
      <w:r>
        <w:t xml:space="preserve">Der Service Provider hat geeignete Methoden und Systeme einzusetzen, um Angriffe zu erkennen. </w:t>
      </w:r>
    </w:p>
    <w:p w14:paraId="45F2B06C" w14:textId="61281341" w:rsidR="00803B40" w:rsidRDefault="00803B40" w:rsidP="00803B40">
      <w:r>
        <w:t>Folgende Reaktionen sind auf Sicherheitsvorfälle gefordert:</w:t>
      </w:r>
    </w:p>
    <w:tbl>
      <w:tblPr>
        <w:tblStyle w:val="Tabellenraster"/>
        <w:tblW w:w="0" w:type="auto"/>
        <w:jc w:val="center"/>
        <w:tblLook w:val="01E0" w:firstRow="1" w:lastRow="1" w:firstColumn="1" w:lastColumn="1" w:noHBand="0" w:noVBand="0"/>
      </w:tblPr>
      <w:tblGrid>
        <w:gridCol w:w="2465"/>
        <w:gridCol w:w="3063"/>
        <w:gridCol w:w="3402"/>
      </w:tblGrid>
      <w:tr w:rsidR="00803B40" w:rsidRPr="009A075D" w14:paraId="2FC3C699" w14:textId="77777777" w:rsidTr="00803B40">
        <w:trPr>
          <w:trHeight w:val="389"/>
          <w:tblHeader/>
          <w:jc w:val="center"/>
        </w:trPr>
        <w:tc>
          <w:tcPr>
            <w:tcW w:w="2465" w:type="dxa"/>
            <w:tcBorders>
              <w:bottom w:val="single" w:sz="4" w:space="0" w:color="auto"/>
            </w:tcBorders>
            <w:shd w:val="clear" w:color="auto" w:fill="002060"/>
            <w:vAlign w:val="center"/>
          </w:tcPr>
          <w:p w14:paraId="2CCFAFAB" w14:textId="77777777" w:rsidR="00803B40" w:rsidRPr="00803B40" w:rsidRDefault="00803B40" w:rsidP="00803B40">
            <w:pPr>
              <w:pStyle w:val="Tabellenberschrift"/>
              <w:jc w:val="left"/>
              <w:rPr>
                <w:rFonts w:asciiTheme="minorHAnsi" w:hAnsiTheme="minorHAnsi"/>
                <w:sz w:val="22"/>
              </w:rPr>
            </w:pPr>
            <w:r w:rsidRPr="00803B40">
              <w:rPr>
                <w:rFonts w:asciiTheme="minorHAnsi" w:hAnsiTheme="minorHAnsi"/>
                <w:sz w:val="22"/>
              </w:rPr>
              <w:t>Vorgabe</w:t>
            </w:r>
          </w:p>
        </w:tc>
        <w:tc>
          <w:tcPr>
            <w:tcW w:w="3063" w:type="dxa"/>
            <w:tcBorders>
              <w:bottom w:val="single" w:sz="4" w:space="0" w:color="auto"/>
            </w:tcBorders>
            <w:shd w:val="clear" w:color="auto" w:fill="002060"/>
            <w:vAlign w:val="center"/>
          </w:tcPr>
          <w:p w14:paraId="36930458" w14:textId="77777777" w:rsidR="00803B40" w:rsidRPr="00803B40" w:rsidRDefault="00803B40" w:rsidP="007B1D65">
            <w:pPr>
              <w:pStyle w:val="Tabellenberschrift"/>
              <w:rPr>
                <w:rFonts w:asciiTheme="minorHAnsi" w:hAnsiTheme="minorHAnsi"/>
                <w:sz w:val="22"/>
              </w:rPr>
            </w:pPr>
            <w:r w:rsidRPr="00803B40">
              <w:rPr>
                <w:rFonts w:asciiTheme="minorHAnsi" w:hAnsiTheme="minorHAnsi"/>
                <w:sz w:val="22"/>
              </w:rPr>
              <w:t>Hohe Kritikalität</w:t>
            </w:r>
          </w:p>
        </w:tc>
        <w:tc>
          <w:tcPr>
            <w:tcW w:w="3402" w:type="dxa"/>
            <w:tcBorders>
              <w:bottom w:val="single" w:sz="4" w:space="0" w:color="auto"/>
            </w:tcBorders>
            <w:shd w:val="clear" w:color="auto" w:fill="002060"/>
            <w:vAlign w:val="center"/>
          </w:tcPr>
          <w:p w14:paraId="411A79E9" w14:textId="77777777" w:rsidR="00803B40" w:rsidRPr="00803B40" w:rsidRDefault="00803B40" w:rsidP="00803B40">
            <w:pPr>
              <w:pStyle w:val="Tabellenberschrift"/>
              <w:jc w:val="left"/>
              <w:rPr>
                <w:rFonts w:asciiTheme="minorHAnsi" w:hAnsiTheme="minorHAnsi"/>
                <w:sz w:val="22"/>
              </w:rPr>
            </w:pPr>
            <w:r w:rsidRPr="00803B40">
              <w:rPr>
                <w:rFonts w:asciiTheme="minorHAnsi" w:hAnsiTheme="minorHAnsi"/>
                <w:sz w:val="22"/>
              </w:rPr>
              <w:t>Normale Kritikalität</w:t>
            </w:r>
          </w:p>
        </w:tc>
      </w:tr>
      <w:tr w:rsidR="00803B40" w:rsidRPr="003B039D" w14:paraId="7432DA81" w14:textId="77777777" w:rsidTr="00803B40">
        <w:trPr>
          <w:trHeight w:val="280"/>
          <w:jc w:val="center"/>
        </w:trPr>
        <w:tc>
          <w:tcPr>
            <w:tcW w:w="2465" w:type="dxa"/>
            <w:shd w:val="clear" w:color="auto" w:fill="auto"/>
          </w:tcPr>
          <w:p w14:paraId="04A6A517" w14:textId="6AA86F1C" w:rsidR="00803B40" w:rsidRPr="00803B40" w:rsidRDefault="00803B40" w:rsidP="00803B40">
            <w:pPr>
              <w:pStyle w:val="Tabellentext"/>
              <w:spacing w:before="0" w:beforeAutospacing="0" w:after="0" w:afterAutospacing="0"/>
              <w:jc w:val="left"/>
              <w:rPr>
                <w:rFonts w:asciiTheme="minorHAnsi" w:hAnsiTheme="minorHAnsi"/>
                <w:sz w:val="22"/>
              </w:rPr>
            </w:pPr>
            <w:r w:rsidRPr="00803B40">
              <w:rPr>
                <w:rFonts w:asciiTheme="minorHAnsi" w:hAnsiTheme="minorHAnsi"/>
                <w:sz w:val="22"/>
              </w:rPr>
              <w:t>Meldung an Auftraggeber</w:t>
            </w:r>
            <w:r w:rsidR="003B0F41">
              <w:rPr>
                <w:rStyle w:val="Funotenzeichen"/>
                <w:rFonts w:asciiTheme="minorHAnsi" w:hAnsiTheme="minorHAnsi"/>
                <w:sz w:val="22"/>
              </w:rPr>
              <w:footnoteReference w:id="2"/>
            </w:r>
            <w:r w:rsidRPr="00803B40">
              <w:rPr>
                <w:rFonts w:asciiTheme="minorHAnsi" w:hAnsiTheme="minorHAnsi"/>
                <w:sz w:val="22"/>
              </w:rPr>
              <w:t xml:space="preserve"> </w:t>
            </w:r>
          </w:p>
        </w:tc>
        <w:tc>
          <w:tcPr>
            <w:tcW w:w="3063" w:type="dxa"/>
            <w:shd w:val="clear" w:color="auto" w:fill="auto"/>
          </w:tcPr>
          <w:p w14:paraId="08181E1A" w14:textId="77777777" w:rsidR="00803B40" w:rsidRPr="00803B40" w:rsidRDefault="00803B40" w:rsidP="00803B40">
            <w:pPr>
              <w:pStyle w:val="Tabellentext"/>
              <w:spacing w:before="0" w:beforeAutospacing="0" w:after="0" w:afterAutospacing="0"/>
              <w:jc w:val="left"/>
              <w:rPr>
                <w:rFonts w:asciiTheme="minorHAnsi" w:hAnsiTheme="minorHAnsi"/>
                <w:sz w:val="22"/>
              </w:rPr>
            </w:pPr>
            <w:r w:rsidRPr="00803B40">
              <w:rPr>
                <w:rFonts w:asciiTheme="minorHAnsi" w:hAnsiTheme="minorHAnsi"/>
                <w:sz w:val="22"/>
              </w:rPr>
              <w:t>Unverzüglich</w:t>
            </w:r>
          </w:p>
        </w:tc>
        <w:tc>
          <w:tcPr>
            <w:tcW w:w="3402" w:type="dxa"/>
            <w:shd w:val="clear" w:color="auto" w:fill="auto"/>
          </w:tcPr>
          <w:p w14:paraId="20478E82" w14:textId="3166123C" w:rsidR="00803B40" w:rsidRPr="00803B40" w:rsidRDefault="0087209D" w:rsidP="0087209D">
            <w:pPr>
              <w:pStyle w:val="Tabellentext"/>
              <w:spacing w:before="0" w:beforeAutospacing="0" w:after="0" w:afterAutospacing="0"/>
              <w:jc w:val="left"/>
              <w:rPr>
                <w:rFonts w:asciiTheme="minorHAnsi" w:hAnsiTheme="minorHAnsi"/>
                <w:sz w:val="22"/>
              </w:rPr>
            </w:pPr>
            <w:r>
              <w:rPr>
                <w:rFonts w:asciiTheme="minorHAnsi" w:hAnsiTheme="minorHAnsi"/>
                <w:sz w:val="22"/>
              </w:rPr>
              <w:t>Am gleichen Tag</w:t>
            </w:r>
          </w:p>
        </w:tc>
      </w:tr>
      <w:tr w:rsidR="00803B40" w:rsidRPr="003B039D" w14:paraId="32868BEC" w14:textId="77777777" w:rsidTr="00803B40">
        <w:trPr>
          <w:trHeight w:val="263"/>
          <w:jc w:val="center"/>
        </w:trPr>
        <w:tc>
          <w:tcPr>
            <w:tcW w:w="2465" w:type="dxa"/>
            <w:shd w:val="clear" w:color="auto" w:fill="auto"/>
          </w:tcPr>
          <w:p w14:paraId="5DF5796D" w14:textId="77777777" w:rsidR="00803B40" w:rsidRPr="00803B40" w:rsidRDefault="00803B40" w:rsidP="00803B40">
            <w:pPr>
              <w:pStyle w:val="Tabellentext"/>
              <w:spacing w:before="0" w:beforeAutospacing="0" w:after="0" w:afterAutospacing="0"/>
              <w:jc w:val="left"/>
              <w:rPr>
                <w:rFonts w:asciiTheme="minorHAnsi" w:hAnsiTheme="minorHAnsi"/>
                <w:sz w:val="22"/>
              </w:rPr>
            </w:pPr>
            <w:r w:rsidRPr="00803B40">
              <w:rPr>
                <w:rFonts w:asciiTheme="minorHAnsi" w:hAnsiTheme="minorHAnsi"/>
                <w:sz w:val="22"/>
              </w:rPr>
              <w:t>Problembehebung</w:t>
            </w:r>
          </w:p>
        </w:tc>
        <w:tc>
          <w:tcPr>
            <w:tcW w:w="3063" w:type="dxa"/>
            <w:shd w:val="clear" w:color="auto" w:fill="auto"/>
          </w:tcPr>
          <w:p w14:paraId="2D404076" w14:textId="77777777" w:rsidR="00803B40" w:rsidRPr="00803B40" w:rsidRDefault="00803B40" w:rsidP="00803B40">
            <w:pPr>
              <w:pStyle w:val="Tabellentext"/>
              <w:spacing w:before="0" w:beforeAutospacing="0" w:after="0" w:afterAutospacing="0"/>
              <w:jc w:val="left"/>
              <w:rPr>
                <w:rFonts w:asciiTheme="minorHAnsi" w:hAnsiTheme="minorHAnsi"/>
                <w:sz w:val="22"/>
              </w:rPr>
            </w:pPr>
            <w:r w:rsidRPr="00803B40">
              <w:rPr>
                <w:rFonts w:asciiTheme="minorHAnsi" w:hAnsiTheme="minorHAnsi"/>
                <w:sz w:val="22"/>
              </w:rPr>
              <w:t>Unverzüglich</w:t>
            </w:r>
          </w:p>
        </w:tc>
        <w:tc>
          <w:tcPr>
            <w:tcW w:w="3402" w:type="dxa"/>
            <w:shd w:val="clear" w:color="auto" w:fill="auto"/>
          </w:tcPr>
          <w:p w14:paraId="14F5BDFF" w14:textId="5B113F21" w:rsidR="00803B40" w:rsidRPr="00803B40" w:rsidRDefault="00803B40" w:rsidP="00AA53F3">
            <w:pPr>
              <w:pStyle w:val="Tabellentext"/>
              <w:spacing w:before="0" w:beforeAutospacing="0" w:after="0" w:afterAutospacing="0"/>
              <w:jc w:val="left"/>
              <w:rPr>
                <w:rFonts w:asciiTheme="minorHAnsi" w:hAnsiTheme="minorHAnsi"/>
                <w:sz w:val="22"/>
              </w:rPr>
            </w:pPr>
            <w:r w:rsidRPr="00803B40">
              <w:rPr>
                <w:rFonts w:asciiTheme="minorHAnsi" w:hAnsiTheme="minorHAnsi"/>
                <w:sz w:val="22"/>
              </w:rPr>
              <w:t>Innerhalb eine</w:t>
            </w:r>
            <w:r w:rsidR="00AA53F3">
              <w:rPr>
                <w:rFonts w:asciiTheme="minorHAnsi" w:hAnsiTheme="minorHAnsi"/>
                <w:sz w:val="22"/>
              </w:rPr>
              <w:t>r Woche</w:t>
            </w:r>
          </w:p>
        </w:tc>
      </w:tr>
    </w:tbl>
    <w:p w14:paraId="5555C224" w14:textId="7BF7A0D1" w:rsidR="00803B40" w:rsidRPr="00240127" w:rsidRDefault="00302C7D" w:rsidP="00803B40">
      <w:r>
        <w:lastRenderedPageBreak/>
        <w:br/>
      </w:r>
      <w:r w:rsidR="00803B40" w:rsidRPr="00240127">
        <w:t xml:space="preserve">Bei </w:t>
      </w:r>
      <w:r w:rsidR="00803B40">
        <w:t>Sicherheitsvorfällen mit hoher Kritikalität</w:t>
      </w:r>
      <w:r w:rsidR="00803B40" w:rsidRPr="00240127">
        <w:t xml:space="preserve"> kann der Service Provider in Abstimmung mit dem Auftraggeber entscheiden, dass die Verfügbarkeit der potentiell oder akut betroffenen IT-Systeme, Dienste oder Daten einen geringeren Stellenwert als d</w:t>
      </w:r>
      <w:r w:rsidR="00AA53F3">
        <w:t xml:space="preserve">er Schutz der Daten </w:t>
      </w:r>
      <w:r w:rsidR="00803B40" w:rsidRPr="00240127">
        <w:t>bzw. anderer IT-Systeme und Dienste hat</w:t>
      </w:r>
      <w:r w:rsidR="00803B40">
        <w:t>,</w:t>
      </w:r>
      <w:r w:rsidR="00803B40" w:rsidRPr="00240127">
        <w:t xml:space="preserve"> und die betroffenen IT-Systeme oder Dienste bis zur Lösung des Sicherheitsproblems deaktivieren</w:t>
      </w:r>
      <w:r w:rsidR="00803B40">
        <w:t>.</w:t>
      </w:r>
    </w:p>
    <w:p w14:paraId="5605AFC6" w14:textId="77777777" w:rsidR="00803B40" w:rsidRPr="00240127" w:rsidRDefault="00803B40" w:rsidP="00803B40">
      <w:pPr>
        <w:pStyle w:val="berschrift1"/>
        <w:tabs>
          <w:tab w:val="num" w:pos="432"/>
          <w:tab w:val="left" w:pos="567"/>
        </w:tabs>
        <w:spacing w:line="240" w:lineRule="auto"/>
      </w:pPr>
      <w:bookmarkStart w:id="15" w:name="_Toc88186523"/>
      <w:bookmarkStart w:id="16" w:name="_Toc88186661"/>
      <w:bookmarkStart w:id="17" w:name="_Toc130183583"/>
      <w:bookmarkStart w:id="18" w:name="_Toc446663286"/>
      <w:bookmarkStart w:id="19" w:name="_Toc446665395"/>
      <w:bookmarkStart w:id="20" w:name="_Ref85268129"/>
      <w:bookmarkStart w:id="21" w:name="_Ref85268157"/>
      <w:r w:rsidRPr="00240127">
        <w:t>Umgang mit Sicherheitswarnungen</w:t>
      </w:r>
      <w:bookmarkEnd w:id="15"/>
      <w:bookmarkEnd w:id="16"/>
      <w:bookmarkEnd w:id="17"/>
      <w:bookmarkEnd w:id="18"/>
      <w:bookmarkEnd w:id="19"/>
    </w:p>
    <w:p w14:paraId="1AA0308A" w14:textId="5F2C4575" w:rsidR="00803B40" w:rsidRDefault="00803B40" w:rsidP="00803B40">
      <w:r>
        <w:t xml:space="preserve">Der Auftragnehmer muss zur Wahrung der Sicherheit seiner Systeme und der der von ihm beim Auftraggeber betreuten Systeme auf Sicherheitswarnungen </w:t>
      </w:r>
      <w:r w:rsidRPr="00240127">
        <w:t xml:space="preserve">(„Security </w:t>
      </w:r>
      <w:proofErr w:type="spellStart"/>
      <w:r w:rsidRPr="00240127">
        <w:t>Advisories</w:t>
      </w:r>
      <w:proofErr w:type="spellEnd"/>
      <w:r w:rsidRPr="00240127">
        <w:t>“)</w:t>
      </w:r>
      <w:r>
        <w:t xml:space="preserve"> verschiedener Organisationen reagieren.</w:t>
      </w:r>
      <w:bookmarkEnd w:id="20"/>
      <w:bookmarkEnd w:id="21"/>
      <w:r w:rsidR="00302C7D">
        <w:t xml:space="preserve"> </w:t>
      </w:r>
      <w:r w:rsidRPr="00240127">
        <w:t xml:space="preserve">Als Quelle für Warnungen vor Verwundbarkeiten sind mindestens die Mailing-Listen </w:t>
      </w:r>
      <w:r>
        <w:t>und</w:t>
      </w:r>
      <w:r w:rsidRPr="00240127">
        <w:t xml:space="preserve"> Web-Seiten der Hersteller der eingesetzten Applikationen, Dienste und Betriebssysteme sowie die herste</w:t>
      </w:r>
      <w:r>
        <w:t xml:space="preserve">llerunabhängigen Foren </w:t>
      </w:r>
      <w:r w:rsidRPr="00240127">
        <w:t xml:space="preserve">der </w:t>
      </w:r>
      <w:proofErr w:type="spellStart"/>
      <w:r w:rsidRPr="00240127">
        <w:t>Bugtra</w:t>
      </w:r>
      <w:r>
        <w:t>ck</w:t>
      </w:r>
      <w:proofErr w:type="spellEnd"/>
      <w:r w:rsidRPr="00240127">
        <w:t>-Mailingliste zu verfolgen.</w:t>
      </w:r>
      <w:bookmarkStart w:id="22" w:name="_Ref84769432"/>
    </w:p>
    <w:p w14:paraId="66D47459" w14:textId="31B5B2C5" w:rsidR="00803B40" w:rsidRDefault="00803B40" w:rsidP="00803B40">
      <w:r>
        <w:t xml:space="preserve">Bei einer Sicherheitswarnung der Kritikalität HOCH handelt es sich um eine Verwundbarkeit auf einem oder mehreren Systemen oder Netzwerkkomponenten des Service Providers, bei dem die Vertraulichkeit, Integrität oder Verfügbarkeit von Daten bzw. Diensten beim Service Provider oder beim Auftraggeber </w:t>
      </w:r>
      <w:r w:rsidR="00AA53F3">
        <w:t xml:space="preserve">wesentlich </w:t>
      </w:r>
      <w:r>
        <w:t>beeinträchtigt, oder durch negative Berichterstattung ein Image-Schaden des Auftraggebers herbeigeführt werden könnte.</w:t>
      </w:r>
    </w:p>
    <w:p w14:paraId="7E17D4E1" w14:textId="0070ED8D" w:rsidR="00803B40" w:rsidRDefault="00803B40" w:rsidP="00803B40">
      <w:pPr>
        <w:rPr>
          <w:rFonts w:cs="Arial"/>
        </w:rPr>
      </w:pPr>
      <w:r w:rsidRPr="009A075D">
        <w:rPr>
          <w:rFonts w:cs="Arial"/>
        </w:rPr>
        <w:t xml:space="preserve">Folgende Reaktionen sind auf </w:t>
      </w:r>
      <w:r>
        <w:rPr>
          <w:rFonts w:cs="Arial"/>
        </w:rPr>
        <w:t>Sicherheitswarnungen</w:t>
      </w:r>
      <w:r w:rsidRPr="009A075D">
        <w:rPr>
          <w:rFonts w:cs="Arial"/>
        </w:rPr>
        <w:t xml:space="preserve"> gefordert. </w:t>
      </w:r>
      <w:r>
        <w:rPr>
          <w:rFonts w:cs="Arial"/>
        </w:rPr>
        <w:t>Unter Problembehebung ist dabei auch das Einspielen aller relevanten Patches zu verstehen.</w:t>
      </w:r>
    </w:p>
    <w:tbl>
      <w:tblPr>
        <w:tblStyle w:val="Tabellenraster"/>
        <w:tblW w:w="0" w:type="auto"/>
        <w:jc w:val="center"/>
        <w:tblLook w:val="01E0" w:firstRow="1" w:lastRow="1" w:firstColumn="1" w:lastColumn="1" w:noHBand="0" w:noVBand="0"/>
      </w:tblPr>
      <w:tblGrid>
        <w:gridCol w:w="2465"/>
        <w:gridCol w:w="3063"/>
        <w:gridCol w:w="3402"/>
      </w:tblGrid>
      <w:tr w:rsidR="00803B40" w:rsidRPr="00803B40" w14:paraId="1FD487A2" w14:textId="77777777" w:rsidTr="00803B40">
        <w:trPr>
          <w:trHeight w:val="389"/>
          <w:tblHeader/>
          <w:jc w:val="center"/>
        </w:trPr>
        <w:tc>
          <w:tcPr>
            <w:tcW w:w="2465" w:type="dxa"/>
            <w:tcBorders>
              <w:bottom w:val="single" w:sz="4" w:space="0" w:color="auto"/>
            </w:tcBorders>
            <w:shd w:val="clear" w:color="auto" w:fill="002060"/>
            <w:vAlign w:val="center"/>
          </w:tcPr>
          <w:p w14:paraId="734EB57E" w14:textId="77777777" w:rsidR="00803B40" w:rsidRPr="00803B40" w:rsidRDefault="00803B40" w:rsidP="007B1D65">
            <w:pPr>
              <w:pStyle w:val="Tabellenberschrift"/>
              <w:rPr>
                <w:rFonts w:asciiTheme="minorHAnsi" w:hAnsiTheme="minorHAnsi"/>
                <w:sz w:val="22"/>
                <w:szCs w:val="22"/>
              </w:rPr>
            </w:pPr>
            <w:r w:rsidRPr="00803B40">
              <w:rPr>
                <w:rFonts w:asciiTheme="minorHAnsi" w:hAnsiTheme="minorHAnsi"/>
                <w:sz w:val="22"/>
                <w:szCs w:val="22"/>
              </w:rPr>
              <w:t>Vorgabe</w:t>
            </w:r>
          </w:p>
        </w:tc>
        <w:tc>
          <w:tcPr>
            <w:tcW w:w="3063" w:type="dxa"/>
            <w:tcBorders>
              <w:bottom w:val="single" w:sz="4" w:space="0" w:color="auto"/>
            </w:tcBorders>
            <w:shd w:val="clear" w:color="auto" w:fill="002060"/>
            <w:vAlign w:val="center"/>
          </w:tcPr>
          <w:p w14:paraId="2D95A96C" w14:textId="77777777" w:rsidR="00803B40" w:rsidRPr="00803B40" w:rsidRDefault="00803B40" w:rsidP="007B1D65">
            <w:pPr>
              <w:pStyle w:val="Tabellenberschrift"/>
              <w:rPr>
                <w:rFonts w:asciiTheme="minorHAnsi" w:hAnsiTheme="minorHAnsi"/>
                <w:sz w:val="22"/>
                <w:szCs w:val="22"/>
              </w:rPr>
            </w:pPr>
            <w:r w:rsidRPr="00803B40">
              <w:rPr>
                <w:rFonts w:asciiTheme="minorHAnsi" w:hAnsiTheme="minorHAnsi"/>
                <w:sz w:val="22"/>
                <w:szCs w:val="22"/>
              </w:rPr>
              <w:t>Hohe Kritikalität</w:t>
            </w:r>
          </w:p>
        </w:tc>
        <w:tc>
          <w:tcPr>
            <w:tcW w:w="3402" w:type="dxa"/>
            <w:tcBorders>
              <w:bottom w:val="single" w:sz="4" w:space="0" w:color="auto"/>
            </w:tcBorders>
            <w:shd w:val="clear" w:color="auto" w:fill="002060"/>
            <w:vAlign w:val="center"/>
          </w:tcPr>
          <w:p w14:paraId="61915771" w14:textId="77777777" w:rsidR="00803B40" w:rsidRPr="00803B40" w:rsidRDefault="00803B40" w:rsidP="00803B40">
            <w:pPr>
              <w:pStyle w:val="Tabellenberschrift"/>
              <w:jc w:val="left"/>
              <w:rPr>
                <w:rFonts w:asciiTheme="minorHAnsi" w:hAnsiTheme="minorHAnsi"/>
                <w:sz w:val="22"/>
                <w:szCs w:val="22"/>
              </w:rPr>
            </w:pPr>
            <w:r w:rsidRPr="00803B40">
              <w:rPr>
                <w:rFonts w:asciiTheme="minorHAnsi" w:hAnsiTheme="minorHAnsi"/>
                <w:sz w:val="22"/>
                <w:szCs w:val="22"/>
              </w:rPr>
              <w:t>Normale Kritikalität</w:t>
            </w:r>
          </w:p>
        </w:tc>
      </w:tr>
      <w:tr w:rsidR="00803B40" w:rsidRPr="00803B40" w14:paraId="391BE2DA" w14:textId="77777777" w:rsidTr="00803B40">
        <w:trPr>
          <w:trHeight w:val="280"/>
          <w:jc w:val="center"/>
        </w:trPr>
        <w:tc>
          <w:tcPr>
            <w:tcW w:w="2465" w:type="dxa"/>
            <w:shd w:val="clear" w:color="auto" w:fill="auto"/>
          </w:tcPr>
          <w:p w14:paraId="376415D0" w14:textId="118E3409" w:rsidR="00803B40" w:rsidRPr="00803B40" w:rsidRDefault="00803B40" w:rsidP="00803B40">
            <w:pPr>
              <w:pStyle w:val="Tabellentext"/>
              <w:spacing w:before="0" w:beforeAutospacing="0" w:after="0" w:afterAutospacing="0"/>
              <w:jc w:val="left"/>
              <w:rPr>
                <w:rFonts w:asciiTheme="minorHAnsi" w:hAnsiTheme="minorHAnsi"/>
                <w:sz w:val="22"/>
                <w:szCs w:val="22"/>
              </w:rPr>
            </w:pPr>
            <w:r w:rsidRPr="00803B40">
              <w:rPr>
                <w:rFonts w:asciiTheme="minorHAnsi" w:hAnsiTheme="minorHAnsi"/>
                <w:sz w:val="22"/>
                <w:szCs w:val="22"/>
              </w:rPr>
              <w:t>Meldung an Auftraggeber</w:t>
            </w:r>
            <w:r w:rsidR="003B0F41">
              <w:rPr>
                <w:rStyle w:val="Funotenzeichen"/>
                <w:rFonts w:asciiTheme="minorHAnsi" w:hAnsiTheme="minorHAnsi"/>
                <w:sz w:val="22"/>
                <w:szCs w:val="22"/>
              </w:rPr>
              <w:footnoteReference w:id="3"/>
            </w:r>
            <w:r w:rsidRPr="00803B40">
              <w:rPr>
                <w:rFonts w:asciiTheme="minorHAnsi" w:hAnsiTheme="minorHAnsi"/>
                <w:sz w:val="22"/>
                <w:szCs w:val="22"/>
              </w:rPr>
              <w:t xml:space="preserve"> </w:t>
            </w:r>
          </w:p>
        </w:tc>
        <w:tc>
          <w:tcPr>
            <w:tcW w:w="3063" w:type="dxa"/>
            <w:shd w:val="clear" w:color="auto" w:fill="auto"/>
          </w:tcPr>
          <w:p w14:paraId="15A59CBD" w14:textId="77777777" w:rsidR="00803B40" w:rsidRPr="00803B40" w:rsidRDefault="00803B40" w:rsidP="00803B40">
            <w:pPr>
              <w:pStyle w:val="Tabellentext"/>
              <w:spacing w:before="0" w:beforeAutospacing="0" w:after="0" w:afterAutospacing="0"/>
              <w:jc w:val="left"/>
              <w:rPr>
                <w:rFonts w:asciiTheme="minorHAnsi" w:hAnsiTheme="minorHAnsi"/>
                <w:sz w:val="22"/>
                <w:szCs w:val="22"/>
              </w:rPr>
            </w:pPr>
            <w:r w:rsidRPr="00803B40">
              <w:rPr>
                <w:rFonts w:asciiTheme="minorHAnsi" w:hAnsiTheme="minorHAnsi"/>
                <w:sz w:val="22"/>
                <w:szCs w:val="22"/>
              </w:rPr>
              <w:t>Unverzüglich</w:t>
            </w:r>
          </w:p>
        </w:tc>
        <w:tc>
          <w:tcPr>
            <w:tcW w:w="3402" w:type="dxa"/>
            <w:shd w:val="clear" w:color="auto" w:fill="auto"/>
          </w:tcPr>
          <w:p w14:paraId="0D7ABFC7" w14:textId="636B9811" w:rsidR="00803B40" w:rsidRPr="00803B40" w:rsidRDefault="00803B40" w:rsidP="00803B40">
            <w:pPr>
              <w:pStyle w:val="Tabellentext"/>
              <w:spacing w:before="0" w:beforeAutospacing="0" w:after="0" w:afterAutospacing="0"/>
              <w:jc w:val="left"/>
              <w:rPr>
                <w:rFonts w:asciiTheme="minorHAnsi" w:hAnsiTheme="minorHAnsi"/>
                <w:sz w:val="22"/>
                <w:szCs w:val="22"/>
              </w:rPr>
            </w:pPr>
            <w:r w:rsidRPr="00803B40">
              <w:rPr>
                <w:rFonts w:asciiTheme="minorHAnsi" w:hAnsiTheme="minorHAnsi"/>
                <w:sz w:val="22"/>
                <w:szCs w:val="22"/>
              </w:rPr>
              <w:t>Innerhalb eines Tages, falls Systeme des Auftraggebers direkt betroffen</w:t>
            </w:r>
            <w:r w:rsidR="00AA53F3">
              <w:rPr>
                <w:rFonts w:asciiTheme="minorHAnsi" w:hAnsiTheme="minorHAnsi"/>
                <w:sz w:val="22"/>
                <w:szCs w:val="22"/>
              </w:rPr>
              <w:t xml:space="preserve"> sind</w:t>
            </w:r>
            <w:r w:rsidRPr="00803B40">
              <w:rPr>
                <w:rFonts w:asciiTheme="minorHAnsi" w:hAnsiTheme="minorHAnsi"/>
                <w:sz w:val="22"/>
                <w:szCs w:val="22"/>
              </w:rPr>
              <w:t xml:space="preserve">, sonst über das reguläre Reporting </w:t>
            </w:r>
          </w:p>
        </w:tc>
      </w:tr>
      <w:tr w:rsidR="00803B40" w:rsidRPr="00803B40" w14:paraId="6247E41E" w14:textId="77777777" w:rsidTr="00803B40">
        <w:trPr>
          <w:trHeight w:val="263"/>
          <w:jc w:val="center"/>
        </w:trPr>
        <w:tc>
          <w:tcPr>
            <w:tcW w:w="2465" w:type="dxa"/>
            <w:shd w:val="clear" w:color="auto" w:fill="auto"/>
          </w:tcPr>
          <w:p w14:paraId="7DDA8974" w14:textId="77777777" w:rsidR="00803B40" w:rsidRPr="00803B40" w:rsidRDefault="00803B40" w:rsidP="00803B40">
            <w:pPr>
              <w:pStyle w:val="Tabellentext"/>
              <w:spacing w:before="0" w:beforeAutospacing="0" w:after="0" w:afterAutospacing="0"/>
              <w:jc w:val="left"/>
              <w:rPr>
                <w:rFonts w:asciiTheme="minorHAnsi" w:hAnsiTheme="minorHAnsi"/>
                <w:sz w:val="22"/>
                <w:szCs w:val="22"/>
              </w:rPr>
            </w:pPr>
            <w:r w:rsidRPr="00803B40">
              <w:rPr>
                <w:rFonts w:asciiTheme="minorHAnsi" w:hAnsiTheme="minorHAnsi"/>
                <w:sz w:val="22"/>
                <w:szCs w:val="22"/>
              </w:rPr>
              <w:t>Problembehebung</w:t>
            </w:r>
          </w:p>
        </w:tc>
        <w:tc>
          <w:tcPr>
            <w:tcW w:w="3063" w:type="dxa"/>
            <w:shd w:val="clear" w:color="auto" w:fill="auto"/>
          </w:tcPr>
          <w:p w14:paraId="43D81330" w14:textId="111B67D9" w:rsidR="00803B40" w:rsidRPr="00803B40" w:rsidRDefault="00803B40" w:rsidP="00AA53F3">
            <w:pPr>
              <w:pStyle w:val="Tabellentext"/>
              <w:spacing w:before="0" w:beforeAutospacing="0" w:after="0" w:afterAutospacing="0"/>
              <w:jc w:val="left"/>
              <w:rPr>
                <w:rFonts w:asciiTheme="minorHAnsi" w:hAnsiTheme="minorHAnsi"/>
                <w:sz w:val="22"/>
                <w:szCs w:val="22"/>
              </w:rPr>
            </w:pPr>
            <w:r w:rsidRPr="00803B40">
              <w:rPr>
                <w:rFonts w:asciiTheme="minorHAnsi" w:hAnsiTheme="minorHAnsi"/>
                <w:sz w:val="22"/>
                <w:szCs w:val="22"/>
              </w:rPr>
              <w:t xml:space="preserve">Unverzüglich, ggf. alternative Schutzmaßnahmen </w:t>
            </w:r>
            <w:r w:rsidR="00AA53F3">
              <w:rPr>
                <w:rFonts w:asciiTheme="minorHAnsi" w:hAnsiTheme="minorHAnsi"/>
                <w:sz w:val="22"/>
                <w:szCs w:val="22"/>
              </w:rPr>
              <w:t>umsetzen</w:t>
            </w:r>
            <w:r w:rsidRPr="00803B40">
              <w:rPr>
                <w:rFonts w:asciiTheme="minorHAnsi" w:hAnsiTheme="minorHAnsi"/>
                <w:sz w:val="22"/>
                <w:szCs w:val="22"/>
              </w:rPr>
              <w:t>, wenn kein Patch verfügbar</w:t>
            </w:r>
          </w:p>
        </w:tc>
        <w:tc>
          <w:tcPr>
            <w:tcW w:w="3402" w:type="dxa"/>
            <w:shd w:val="clear" w:color="auto" w:fill="auto"/>
          </w:tcPr>
          <w:p w14:paraId="5364EF94" w14:textId="77777777" w:rsidR="00803B40" w:rsidRPr="00803B40" w:rsidRDefault="00803B40" w:rsidP="00803B40">
            <w:pPr>
              <w:pStyle w:val="Tabellentext"/>
              <w:spacing w:before="0" w:beforeAutospacing="0" w:after="0" w:afterAutospacing="0"/>
              <w:jc w:val="left"/>
              <w:rPr>
                <w:rFonts w:asciiTheme="minorHAnsi" w:hAnsiTheme="minorHAnsi"/>
                <w:sz w:val="22"/>
                <w:szCs w:val="22"/>
              </w:rPr>
            </w:pPr>
            <w:r w:rsidRPr="00803B40">
              <w:rPr>
                <w:rFonts w:asciiTheme="minorHAnsi" w:hAnsiTheme="minorHAnsi"/>
                <w:sz w:val="22"/>
                <w:szCs w:val="22"/>
              </w:rPr>
              <w:t>Innerhalb einer Woche</w:t>
            </w:r>
          </w:p>
        </w:tc>
      </w:tr>
    </w:tbl>
    <w:p w14:paraId="7B074D8E" w14:textId="77777777" w:rsidR="00803B40" w:rsidRPr="00240127" w:rsidRDefault="00803B40" w:rsidP="00803B40">
      <w:pPr>
        <w:pStyle w:val="NormalEbene2"/>
        <w:ind w:left="0"/>
      </w:pPr>
    </w:p>
    <w:p w14:paraId="623727AF" w14:textId="3E4325BB" w:rsidR="00803B40" w:rsidRPr="00240127" w:rsidRDefault="00803B40" w:rsidP="00803B40">
      <w:r>
        <w:t xml:space="preserve">Bei Sicherheitswarnungen mit hoher Kritikalität </w:t>
      </w:r>
      <w:r w:rsidRPr="00240127">
        <w:t>kann der Service Provider in Abstimmung mit dem Auftraggeber entscheiden, dass die Verfügbarkeit der potentiell oder akut betroffenen IT-Systeme, Dienste oder Daten einen geringeren Stelle</w:t>
      </w:r>
      <w:r w:rsidR="00AA53F3">
        <w:t xml:space="preserve">nwert als der Schutz der Daten </w:t>
      </w:r>
      <w:r w:rsidRPr="00240127">
        <w:t>bzw. anderer IT-Systeme und Dienste hat und die betroffenen IT-Systeme oder Dienste bis zur Lösung des Sicherheitsproblems deaktivieren</w:t>
      </w:r>
      <w:r>
        <w:t>.</w:t>
      </w:r>
    </w:p>
    <w:p w14:paraId="78FA6260" w14:textId="77777777" w:rsidR="00803B40" w:rsidRPr="00240127" w:rsidRDefault="00803B40" w:rsidP="00803B40">
      <w:pPr>
        <w:pStyle w:val="berschrift1"/>
        <w:tabs>
          <w:tab w:val="num" w:pos="432"/>
          <w:tab w:val="left" w:pos="567"/>
        </w:tabs>
        <w:spacing w:line="240" w:lineRule="auto"/>
      </w:pPr>
      <w:bookmarkStart w:id="23" w:name="_Toc88186530"/>
      <w:bookmarkStart w:id="24" w:name="_Toc88186668"/>
      <w:bookmarkStart w:id="25" w:name="_Ref120343910"/>
      <w:bookmarkStart w:id="26" w:name="_Ref120939502"/>
      <w:bookmarkStart w:id="27" w:name="_Toc130183584"/>
      <w:bookmarkStart w:id="28" w:name="_Toc446663287"/>
      <w:bookmarkStart w:id="29" w:name="_Toc446665396"/>
      <w:r w:rsidRPr="00240127">
        <w:t>Datenschutz</w:t>
      </w:r>
      <w:bookmarkEnd w:id="22"/>
      <w:bookmarkEnd w:id="23"/>
      <w:bookmarkEnd w:id="24"/>
      <w:bookmarkEnd w:id="25"/>
      <w:bookmarkEnd w:id="26"/>
      <w:bookmarkEnd w:id="27"/>
      <w:bookmarkEnd w:id="28"/>
      <w:bookmarkEnd w:id="29"/>
    </w:p>
    <w:p w14:paraId="79805BC4" w14:textId="1F9F1A1D" w:rsidR="00803B40" w:rsidRDefault="00803B40" w:rsidP="00803B40">
      <w:r>
        <w:t>Werden personenbezogene Daten des Auftraggebers, von Mita</w:t>
      </w:r>
      <w:r w:rsidR="00BB6889">
        <w:t>r</w:t>
      </w:r>
      <w:r>
        <w:t xml:space="preserve">beitern oder Kunden verarbeitet, so sind die </w:t>
      </w:r>
      <w:r w:rsidR="004546B4">
        <w:t>gesetzlichen Vorgaben an den Datenschutz einzuhalten.</w:t>
      </w:r>
      <w:r>
        <w:t xml:space="preserve"> </w:t>
      </w:r>
    </w:p>
    <w:p w14:paraId="501E8E49" w14:textId="310B39D9" w:rsidR="00803B40" w:rsidRPr="00240127" w:rsidRDefault="00803B40" w:rsidP="00803B40">
      <w:r w:rsidRPr="00240127">
        <w:lastRenderedPageBreak/>
        <w:t>Bei Ausscheiden eines Mitarbeiters des Service Providers</w:t>
      </w:r>
      <w:r>
        <w:t xml:space="preserve"> oder sonst einer von ihm zur Leistungserbringung eingesetzten Person</w:t>
      </w:r>
      <w:r w:rsidRPr="00240127">
        <w:t>, d</w:t>
      </w:r>
      <w:r>
        <w:t>ie</w:t>
      </w:r>
      <w:r w:rsidRPr="00240127">
        <w:t xml:space="preserve"> Zugriffsrechte auf Datenverarbeitungssysteme des Auftraggebers hatte, </w:t>
      </w:r>
      <w:r>
        <w:t xml:space="preserve">welche </w:t>
      </w:r>
      <w:r w:rsidRPr="00240127">
        <w:t>die Einsicht, Eingabe, Änderung oder Löschung personenbezogener Daten ermöglichen, sind folgende Maßnahmen zu treffen:</w:t>
      </w:r>
    </w:p>
    <w:p w14:paraId="3F456860" w14:textId="367F2AF0" w:rsidR="00803B40" w:rsidRPr="00240127" w:rsidRDefault="00803B40" w:rsidP="00803B40">
      <w:pPr>
        <w:pStyle w:val="Listenabsatz"/>
        <w:numPr>
          <w:ilvl w:val="0"/>
          <w:numId w:val="24"/>
        </w:numPr>
      </w:pPr>
      <w:r w:rsidRPr="00240127">
        <w:t>Das Benutzerkonto d</w:t>
      </w:r>
      <w:r>
        <w:t xml:space="preserve">ieser Person </w:t>
      </w:r>
      <w:r w:rsidRPr="00240127">
        <w:t>ist umgehend in allen Datenverarbeitungssystemen zu deaktivieren, beziehungsweise für d</w:t>
      </w:r>
      <w:r>
        <w:t>ie</w:t>
      </w:r>
      <w:r w:rsidRPr="00240127">
        <w:t xml:space="preserve"> ausgeschiedene </w:t>
      </w:r>
      <w:r>
        <w:t>Person</w:t>
      </w:r>
      <w:r w:rsidR="00AA53F3">
        <w:t xml:space="preserve"> unzugänglich zu machen,</w:t>
      </w:r>
    </w:p>
    <w:p w14:paraId="64C20D41" w14:textId="3E0E352E" w:rsidR="00803B40" w:rsidRPr="00240127" w:rsidRDefault="00AA53F3" w:rsidP="00803B40">
      <w:pPr>
        <w:pStyle w:val="Listenabsatz"/>
        <w:numPr>
          <w:ilvl w:val="0"/>
          <w:numId w:val="24"/>
        </w:numPr>
      </w:pPr>
      <w:r>
        <w:t>Alle Passwö</w:t>
      </w:r>
      <w:r w:rsidR="00803B40" w:rsidRPr="00240127">
        <w:t>rte</w:t>
      </w:r>
      <w:r>
        <w:t>r</w:t>
      </w:r>
      <w:r w:rsidR="00803B40" w:rsidRPr="00240127">
        <w:t>, die de</w:t>
      </w:r>
      <w:r w:rsidR="00803B40">
        <w:t>r Person</w:t>
      </w:r>
      <w:r w:rsidR="00803B40" w:rsidRPr="00240127">
        <w:t xml:space="preserve"> im Rahmen </w:t>
      </w:r>
      <w:r w:rsidR="00803B40">
        <w:t>ihrer</w:t>
      </w:r>
      <w:r w:rsidR="00803B40" w:rsidRPr="00240127">
        <w:t xml:space="preserve"> Funktion zugänglich waren sind sofort nach </w:t>
      </w:r>
      <w:r w:rsidR="00803B40">
        <w:t xml:space="preserve">deren </w:t>
      </w:r>
      <w:r>
        <w:t>Ausscheiden zu ändern,</w:t>
      </w:r>
    </w:p>
    <w:p w14:paraId="62898317" w14:textId="0A109933" w:rsidR="00803B40" w:rsidRDefault="00803B40" w:rsidP="00803B40">
      <w:pPr>
        <w:pStyle w:val="Listenabsatz"/>
        <w:numPr>
          <w:ilvl w:val="0"/>
          <w:numId w:val="24"/>
        </w:numPr>
      </w:pPr>
      <w:r w:rsidRPr="00240127">
        <w:t>Sämtliche im Besitz de</w:t>
      </w:r>
      <w:r>
        <w:t>r</w:t>
      </w:r>
      <w:r w:rsidRPr="00240127">
        <w:t xml:space="preserve"> </w:t>
      </w:r>
      <w:r>
        <w:t>Person</w:t>
      </w:r>
      <w:r w:rsidRPr="00240127">
        <w:t xml:space="preserve"> befindliche</w:t>
      </w:r>
      <w:r>
        <w:t>n</w:t>
      </w:r>
      <w:r w:rsidRPr="00240127">
        <w:t xml:space="preserve"> Unterlagen, die Informationen zu Datenverarbeitungssystemen enthalten, sind vor </w:t>
      </w:r>
      <w:r>
        <w:t xml:space="preserve">deren </w:t>
      </w:r>
      <w:r w:rsidRPr="00240127">
        <w:t>Ausscheiden einzuziehen.</w:t>
      </w:r>
    </w:p>
    <w:p w14:paraId="009FB12B" w14:textId="11FA395B" w:rsidR="00803B40" w:rsidRDefault="00803B40" w:rsidP="00803B40">
      <w:pPr>
        <w:pStyle w:val="berschrift1"/>
        <w:tabs>
          <w:tab w:val="num" w:pos="432"/>
          <w:tab w:val="left" w:pos="567"/>
        </w:tabs>
        <w:spacing w:line="240" w:lineRule="auto"/>
      </w:pPr>
      <w:bookmarkStart w:id="30" w:name="_Toc88186548"/>
      <w:bookmarkStart w:id="31" w:name="_Toc88186686"/>
      <w:bookmarkStart w:id="32" w:name="_Toc130183585"/>
      <w:bookmarkStart w:id="33" w:name="_Toc446663288"/>
      <w:bookmarkStart w:id="34" w:name="_Toc446665397"/>
      <w:r>
        <w:t xml:space="preserve">IT </w:t>
      </w:r>
      <w:r w:rsidRPr="00240127">
        <w:t xml:space="preserve">Service </w:t>
      </w:r>
      <w:bookmarkEnd w:id="30"/>
      <w:bookmarkEnd w:id="31"/>
      <w:bookmarkEnd w:id="32"/>
      <w:r>
        <w:t>Management</w:t>
      </w:r>
      <w:bookmarkEnd w:id="33"/>
      <w:bookmarkEnd w:id="34"/>
    </w:p>
    <w:p w14:paraId="095C81C3" w14:textId="018690EE" w:rsidR="00803B40" w:rsidRDefault="00803B40" w:rsidP="00803B40">
      <w:r w:rsidRPr="00240127">
        <w:t xml:space="preserve">Um die Einhaltung der in diesem Dokument genannten Vorgaben und Anforderungen </w:t>
      </w:r>
      <w:r w:rsidR="00AA53F3">
        <w:t>kontinuierlich</w:t>
      </w:r>
      <w:r w:rsidRPr="00240127">
        <w:t xml:space="preserve">  </w:t>
      </w:r>
      <w:r w:rsidR="00AA53F3">
        <w:t>sicherzustellen</w:t>
      </w:r>
      <w:r>
        <w:t>,</w:t>
      </w:r>
      <w:r w:rsidRPr="00240127">
        <w:t xml:space="preserve"> verpflichtet sich der Service Provider </w:t>
      </w:r>
      <w:r w:rsidR="004546B4">
        <w:t>dazu,</w:t>
      </w:r>
      <w:r w:rsidR="00F37472">
        <w:t xml:space="preserve"> die folgenden Aspekte</w:t>
      </w:r>
      <w:r w:rsidR="004546B4">
        <w:rPr>
          <w:rStyle w:val="Funotenzeichen"/>
        </w:rPr>
        <w:footnoteReference w:id="4"/>
      </w:r>
      <w:r w:rsidR="00F37472">
        <w:t xml:space="preserve"> zu beachten:</w:t>
      </w:r>
    </w:p>
    <w:p w14:paraId="3CEABFBA" w14:textId="77777777" w:rsidR="00803B40" w:rsidRDefault="00803B40" w:rsidP="00803B40">
      <w:pPr>
        <w:pStyle w:val="berschrift2"/>
        <w:tabs>
          <w:tab w:val="left" w:pos="680"/>
        </w:tabs>
        <w:spacing w:line="240" w:lineRule="auto"/>
        <w:ind w:left="680" w:hanging="680"/>
      </w:pPr>
      <w:bookmarkStart w:id="35" w:name="_Toc446665398"/>
      <w:proofErr w:type="spellStart"/>
      <w:r>
        <w:t>Capacity</w:t>
      </w:r>
      <w:proofErr w:type="spellEnd"/>
      <w:r>
        <w:t xml:space="preserve"> Management</w:t>
      </w:r>
      <w:bookmarkEnd w:id="35"/>
    </w:p>
    <w:p w14:paraId="27C0B494" w14:textId="1C22A311" w:rsidR="00803B40" w:rsidRDefault="00803B40" w:rsidP="00803B40">
      <w:r w:rsidRPr="00240127">
        <w:t>Der Service Provider stellt sicher, das</w:t>
      </w:r>
      <w:r>
        <w:t>s auch in Zeiten</w:t>
      </w:r>
      <w:r w:rsidRPr="00240127">
        <w:t xml:space="preserve"> erhöhte</w:t>
      </w:r>
      <w:r>
        <w:t>n</w:t>
      </w:r>
      <w:r w:rsidRPr="00240127">
        <w:t xml:space="preserve"> Serviceaufkommen</w:t>
      </w:r>
      <w:r>
        <w:t>s</w:t>
      </w:r>
      <w:r w:rsidRPr="00240127">
        <w:t xml:space="preserve"> genügend Ressourcen zur Verfügung stehen, damit alle Leistungen </w:t>
      </w:r>
      <w:r>
        <w:t xml:space="preserve">in dem vertraglich vereinbarten </w:t>
      </w:r>
      <w:r w:rsidR="00F37472">
        <w:t xml:space="preserve">Umfang </w:t>
      </w:r>
      <w:r w:rsidR="00F37472" w:rsidRPr="00240127">
        <w:t>erbracht</w:t>
      </w:r>
      <w:r w:rsidRPr="00240127">
        <w:t xml:space="preserve"> werden können, ohne dass sicherheitsrelevante </w:t>
      </w:r>
      <w:r w:rsidR="00AA53F3">
        <w:t>Aufgaben</w:t>
      </w:r>
      <w:r w:rsidRPr="00240127">
        <w:t xml:space="preserve"> vernachlässigt werden. Mit Ressourcen sind an dieser Stelle neben Personal auch Hardware, Anbindungen an Netze und Kommunikationsmittel gemeint.</w:t>
      </w:r>
    </w:p>
    <w:p w14:paraId="705573C6" w14:textId="4578514B" w:rsidR="00803B40" w:rsidRDefault="00803B40" w:rsidP="00803B40">
      <w:r w:rsidRPr="00240127">
        <w:t xml:space="preserve">In besonderem Maße hat der Service Provider sicherzustellen, dass bei </w:t>
      </w:r>
      <w:r>
        <w:t>Sicherheitsvorfällen und Sicherheitswarnungen mit hoher Kritikalität</w:t>
      </w:r>
      <w:r w:rsidRPr="00240127">
        <w:t xml:space="preserve"> ausreichend Personal mit dem entsprechenden Fachwissen zur Verfügung steht.</w:t>
      </w:r>
    </w:p>
    <w:p w14:paraId="19475803" w14:textId="3EA3D735" w:rsidR="00803B40" w:rsidRDefault="00803B40" w:rsidP="00803B40">
      <w:r w:rsidRPr="00240127">
        <w:t xml:space="preserve">Bei Problemen im Bereich der Kapazität ist eine gesonderte Meldung mit Begründung für den Zustand </w:t>
      </w:r>
      <w:r>
        <w:t xml:space="preserve">an den </w:t>
      </w:r>
      <w:r w:rsidR="00F37472">
        <w:t>Auftraggeber</w:t>
      </w:r>
      <w:r w:rsidRPr="00240127">
        <w:t xml:space="preserve"> vorzunehmen.</w:t>
      </w:r>
    </w:p>
    <w:p w14:paraId="61081FEA" w14:textId="77777777" w:rsidR="00803B40" w:rsidRDefault="00803B40" w:rsidP="00803B40">
      <w:pPr>
        <w:pStyle w:val="berschrift2"/>
        <w:tabs>
          <w:tab w:val="left" w:pos="680"/>
        </w:tabs>
        <w:spacing w:line="240" w:lineRule="auto"/>
        <w:ind w:left="680" w:hanging="680"/>
      </w:pPr>
      <w:bookmarkStart w:id="36" w:name="_Toc446665399"/>
      <w:proofErr w:type="spellStart"/>
      <w:r>
        <w:t>Continuity</w:t>
      </w:r>
      <w:proofErr w:type="spellEnd"/>
      <w:r>
        <w:t xml:space="preserve"> Management</w:t>
      </w:r>
      <w:bookmarkEnd w:id="36"/>
    </w:p>
    <w:p w14:paraId="67E80BC0" w14:textId="1BAC4547" w:rsidR="00803B40" w:rsidRPr="00240127" w:rsidRDefault="00AA53F3" w:rsidP="00803B40">
      <w:r>
        <w:t>D</w:t>
      </w:r>
      <w:r w:rsidR="00803B40" w:rsidRPr="00240127">
        <w:t xml:space="preserve">er Service Provider </w:t>
      </w:r>
      <w:r>
        <w:t xml:space="preserve">verpflichtet sich </w:t>
      </w:r>
      <w:r w:rsidR="00803B40" w:rsidRPr="00240127">
        <w:t xml:space="preserve">zu einer kontinuierlichen Risikoanalyse im Rahmen seines </w:t>
      </w:r>
      <w:r w:rsidR="00F37472" w:rsidRPr="00240127">
        <w:t>Geschäftsbetriebs</w:t>
      </w:r>
      <w:r w:rsidR="00803B40" w:rsidRPr="00240127">
        <w:t xml:space="preserve">. </w:t>
      </w:r>
      <w:r w:rsidR="00803B40">
        <w:t xml:space="preserve">Er hat dem Auftraggeber jederzeit auf Anforderung folgende Informationen </w:t>
      </w:r>
      <w:r>
        <w:t>bzw.</w:t>
      </w:r>
      <w:r w:rsidR="00803B40">
        <w:t xml:space="preserve"> Nachweise vorzulegen</w:t>
      </w:r>
      <w:r w:rsidR="00803B40" w:rsidRPr="00240127">
        <w:t>:</w:t>
      </w:r>
    </w:p>
    <w:p w14:paraId="754F3827" w14:textId="51BE267F" w:rsidR="00803B40" w:rsidRDefault="00803B40" w:rsidP="00803B40">
      <w:pPr>
        <w:pStyle w:val="Listenabsatz"/>
        <w:numPr>
          <w:ilvl w:val="0"/>
          <w:numId w:val="25"/>
        </w:numPr>
      </w:pPr>
      <w:r w:rsidRPr="00240127">
        <w:t xml:space="preserve">Notfallplan, der in Kraft tritt, wenn der Service Provider von einem Katastrophenfall betroffen ist (Erdbeben, Flutkatastrophe, </w:t>
      </w:r>
      <w:r>
        <w:t>Flugzeugabsturz, Feuer, etc.),</w:t>
      </w:r>
    </w:p>
    <w:p w14:paraId="393F6E9F" w14:textId="3F445079" w:rsidR="00AA53F3" w:rsidRDefault="00AA53F3" w:rsidP="00AA53F3">
      <w:pPr>
        <w:pStyle w:val="Listenabsatz"/>
        <w:numPr>
          <w:ilvl w:val="0"/>
          <w:numId w:val="25"/>
        </w:numPr>
      </w:pPr>
      <w:r w:rsidRPr="00240127">
        <w:t>Nachweis über erfolgte Tests im Bereich der Notfall-Vorsorge und deren Er</w:t>
      </w:r>
      <w:r>
        <w:t>gebnisse,</w:t>
      </w:r>
    </w:p>
    <w:p w14:paraId="58E40BB7" w14:textId="77777777" w:rsidR="00803B40" w:rsidRDefault="00803B40" w:rsidP="00803B40">
      <w:pPr>
        <w:pStyle w:val="Listenabsatz"/>
        <w:numPr>
          <w:ilvl w:val="0"/>
          <w:numId w:val="25"/>
        </w:numPr>
      </w:pPr>
      <w:r w:rsidRPr="00240127">
        <w:t xml:space="preserve">Analyse der aktuell für den Service Provider </w:t>
      </w:r>
      <w:r>
        <w:t>relevanten Risiken inklusive des beschlossenen Maßnahmenplans,</w:t>
      </w:r>
      <w:r w:rsidRPr="00240127">
        <w:t xml:space="preserve"> </w:t>
      </w:r>
    </w:p>
    <w:p w14:paraId="533E572F" w14:textId="4E0C7284" w:rsidR="00803B40" w:rsidRPr="00240127" w:rsidRDefault="00803B40" w:rsidP="00803B40">
      <w:pPr>
        <w:pStyle w:val="Listenabsatz"/>
        <w:numPr>
          <w:ilvl w:val="0"/>
          <w:numId w:val="25"/>
        </w:numPr>
      </w:pPr>
      <w:r w:rsidRPr="00240127">
        <w:t xml:space="preserve">Nachweis über durch den Service Provider ergriffene Maßnahmen zur Reduzierung von Risiken </w:t>
      </w:r>
      <w:r>
        <w:t>bzw.</w:t>
      </w:r>
      <w:r w:rsidRPr="00240127">
        <w:t xml:space="preserve"> über die Versicherung von Restrisiken.</w:t>
      </w:r>
    </w:p>
    <w:p w14:paraId="19A396EB" w14:textId="77777777" w:rsidR="00803B40" w:rsidRDefault="00803B40" w:rsidP="00803B40">
      <w:pPr>
        <w:pStyle w:val="berschrift2"/>
        <w:tabs>
          <w:tab w:val="left" w:pos="680"/>
        </w:tabs>
        <w:spacing w:line="240" w:lineRule="auto"/>
        <w:ind w:left="680" w:hanging="680"/>
      </w:pPr>
      <w:bookmarkStart w:id="37" w:name="_Toc85007268"/>
      <w:bookmarkStart w:id="38" w:name="_Toc88186557"/>
      <w:bookmarkStart w:id="39" w:name="_Toc88186695"/>
      <w:bookmarkStart w:id="40" w:name="_Toc446665400"/>
      <w:r w:rsidRPr="00240127">
        <w:lastRenderedPageBreak/>
        <w:t>Change Management</w:t>
      </w:r>
      <w:bookmarkEnd w:id="37"/>
      <w:bookmarkEnd w:id="38"/>
      <w:bookmarkEnd w:id="39"/>
      <w:bookmarkEnd w:id="40"/>
    </w:p>
    <w:p w14:paraId="6CAABA08" w14:textId="4E92050C" w:rsidR="00803B40" w:rsidRPr="00240127" w:rsidRDefault="00803B40" w:rsidP="00803B40">
      <w:r w:rsidRPr="00240127">
        <w:t xml:space="preserve">Der Service Provider muss sämtliche Änderungen an Systemen und Diensten, die Auswirkungen auf die Sicherheit der Systeme oder auf die Vertraulichkeit, Integrität oder Verfügbarkeit von Daten und Diensten haben können, im Rahmen eines „Request </w:t>
      </w:r>
      <w:proofErr w:type="spellStart"/>
      <w:r w:rsidRPr="00240127">
        <w:t>for</w:t>
      </w:r>
      <w:proofErr w:type="spellEnd"/>
      <w:r w:rsidRPr="00240127">
        <w:t xml:space="preserve"> Change“ beim Auftraggeber beantragen.</w:t>
      </w:r>
      <w:r>
        <w:t xml:space="preserve"> </w:t>
      </w:r>
      <w:r w:rsidRPr="00240127">
        <w:t xml:space="preserve">Der „Request </w:t>
      </w:r>
      <w:proofErr w:type="spellStart"/>
      <w:r w:rsidRPr="00240127">
        <w:t>for</w:t>
      </w:r>
      <w:proofErr w:type="spellEnd"/>
      <w:r w:rsidRPr="00240127">
        <w:t xml:space="preserve"> Change“ muss mindestens die folgenden Informationen enthalten:</w:t>
      </w:r>
    </w:p>
    <w:p w14:paraId="6CAFB96B" w14:textId="77777777" w:rsidR="00803B40" w:rsidRPr="00803B40" w:rsidRDefault="00803B40" w:rsidP="00803B40">
      <w:pPr>
        <w:pStyle w:val="Listenabsatz"/>
        <w:numPr>
          <w:ilvl w:val="0"/>
          <w:numId w:val="27"/>
        </w:numPr>
      </w:pPr>
      <w:r w:rsidRPr="00803B40">
        <w:t>Beschreibung der durchzuführenden Arbeiten</w:t>
      </w:r>
    </w:p>
    <w:p w14:paraId="2C692918" w14:textId="77777777" w:rsidR="00803B40" w:rsidRPr="00803B40" w:rsidRDefault="00803B40" w:rsidP="00803B40">
      <w:pPr>
        <w:pStyle w:val="Listenabsatz"/>
        <w:numPr>
          <w:ilvl w:val="0"/>
          <w:numId w:val="27"/>
        </w:numPr>
      </w:pPr>
      <w:r w:rsidRPr="00803B40">
        <w:t>Sicherheitsimplikationen: Welche Auswirkungen auf die Verfügbarkeit und Sicherheit von IT-Systemen und Diensten hat eine Ablehnung des Antrags?</w:t>
      </w:r>
    </w:p>
    <w:p w14:paraId="79765F46" w14:textId="52D8880E" w:rsidR="00803B40" w:rsidRPr="00803B40" w:rsidRDefault="00803B40" w:rsidP="00803B40">
      <w:pPr>
        <w:pStyle w:val="Listenabsatz"/>
        <w:numPr>
          <w:ilvl w:val="0"/>
          <w:numId w:val="27"/>
        </w:numPr>
      </w:pPr>
      <w:r w:rsidRPr="00803B40">
        <w:t>Auswirkungen: Welche möglichen Auswirkungen hat die Implementierung der Änderung auf IT-Systeme oder Dienste?</w:t>
      </w:r>
    </w:p>
    <w:p w14:paraId="4D31FB16" w14:textId="2973CE57" w:rsidR="00803B40" w:rsidRPr="00240127" w:rsidRDefault="00803B40" w:rsidP="00803B40">
      <w:r w:rsidRPr="00240127">
        <w:t xml:space="preserve">Für Änderungen, die im Rahmen der Bearbeitung eines </w:t>
      </w:r>
      <w:r>
        <w:t>Sicherheitsvorfalls oder einer Sicherheitswarnung mit hoher Kritikalität</w:t>
      </w:r>
      <w:r w:rsidRPr="00240127">
        <w:t xml:space="preserve"> erforderlich sind, kann der </w:t>
      </w:r>
      <w:r w:rsidR="00AA53F3">
        <w:t>„</w:t>
      </w:r>
      <w:r w:rsidRPr="00240127">
        <w:t xml:space="preserve">Request </w:t>
      </w:r>
      <w:proofErr w:type="spellStart"/>
      <w:r w:rsidRPr="00240127">
        <w:t>for</w:t>
      </w:r>
      <w:proofErr w:type="spellEnd"/>
      <w:r w:rsidRPr="00240127">
        <w:t xml:space="preserve"> Change</w:t>
      </w:r>
      <w:r w:rsidR="00AA53F3">
        <w:t>“</w:t>
      </w:r>
      <w:r w:rsidRPr="00240127">
        <w:t xml:space="preserve"> auch nachträglich gestellt werden.</w:t>
      </w:r>
    </w:p>
    <w:p w14:paraId="117A622C" w14:textId="77777777" w:rsidR="00803B40" w:rsidRPr="00240127" w:rsidRDefault="00803B40" w:rsidP="00803B40">
      <w:pPr>
        <w:pStyle w:val="berschrift2"/>
        <w:tabs>
          <w:tab w:val="left" w:pos="680"/>
        </w:tabs>
        <w:spacing w:line="240" w:lineRule="auto"/>
        <w:ind w:left="680" w:hanging="680"/>
      </w:pPr>
      <w:bookmarkStart w:id="41" w:name="_Toc85007270"/>
      <w:bookmarkStart w:id="42" w:name="_Toc88186558"/>
      <w:bookmarkStart w:id="43" w:name="_Toc88186696"/>
      <w:bookmarkStart w:id="44" w:name="_Toc446665401"/>
      <w:bookmarkStart w:id="45" w:name="_Toc85007269"/>
      <w:proofErr w:type="spellStart"/>
      <w:r w:rsidRPr="00240127">
        <w:t>Configuration</w:t>
      </w:r>
      <w:proofErr w:type="spellEnd"/>
      <w:r w:rsidRPr="00240127">
        <w:t xml:space="preserve"> Management</w:t>
      </w:r>
      <w:bookmarkEnd w:id="41"/>
      <w:bookmarkEnd w:id="42"/>
      <w:bookmarkEnd w:id="43"/>
      <w:bookmarkEnd w:id="44"/>
    </w:p>
    <w:p w14:paraId="1F14EA08" w14:textId="4199A6B3" w:rsidR="00803B40" w:rsidRDefault="00803B40" w:rsidP="00803B40">
      <w:r w:rsidRPr="00240127">
        <w:t>Der Service Provider ist verpflichtet</w:t>
      </w:r>
      <w:r>
        <w:t>,</w:t>
      </w:r>
      <w:r w:rsidRPr="00240127">
        <w:t xml:space="preserve"> eine Inventarisierung aller Systeme</w:t>
      </w:r>
      <w:r>
        <w:t xml:space="preserve"> („CMDB“)</w:t>
      </w:r>
      <w:r w:rsidR="00AA53F3">
        <w:t xml:space="preserve"> </w:t>
      </w:r>
      <w:r>
        <w:t xml:space="preserve">fortlaufend </w:t>
      </w:r>
      <w:r w:rsidR="00AA53F3">
        <w:t xml:space="preserve">so </w:t>
      </w:r>
      <w:r>
        <w:t>zu pflegen</w:t>
      </w:r>
      <w:r w:rsidRPr="00240127">
        <w:t>, dass die Abhängigkeiten der einzelnen Systeme untereinander klar ersichtlich sind und detailliert nachvollzogen werden können</w:t>
      </w:r>
      <w:r>
        <w:t>,</w:t>
      </w:r>
      <w:r w:rsidRPr="00240127">
        <w:t xml:space="preserve"> um im Falle eines </w:t>
      </w:r>
      <w:r>
        <w:t>Sicherheitsvorfalls</w:t>
      </w:r>
      <w:r w:rsidRPr="00240127">
        <w:t xml:space="preserve"> die betroffenen Systeme umgehend identifizieren und die tatsächliche Gefährdung einschätzen zu können.</w:t>
      </w:r>
    </w:p>
    <w:p w14:paraId="006309A8" w14:textId="77777777" w:rsidR="00803B40" w:rsidRPr="00240127" w:rsidRDefault="00803B40" w:rsidP="00803B40">
      <w:pPr>
        <w:pStyle w:val="berschrift2"/>
        <w:tabs>
          <w:tab w:val="left" w:pos="680"/>
        </w:tabs>
        <w:spacing w:line="240" w:lineRule="auto"/>
        <w:ind w:left="680" w:hanging="680"/>
        <w:rPr>
          <w:lang w:val="en-GB"/>
        </w:rPr>
      </w:pPr>
      <w:bookmarkStart w:id="46" w:name="_Toc88186560"/>
      <w:bookmarkStart w:id="47" w:name="_Toc88186698"/>
      <w:bookmarkStart w:id="48" w:name="_Ref120344388"/>
      <w:bookmarkStart w:id="49" w:name="_Toc446665402"/>
      <w:bookmarkStart w:id="50" w:name="_Toc85007271"/>
      <w:bookmarkEnd w:id="45"/>
      <w:r w:rsidRPr="00240127">
        <w:rPr>
          <w:lang w:val="en-GB"/>
        </w:rPr>
        <w:t>Computer Emergency Response Team (CERT)</w:t>
      </w:r>
      <w:bookmarkEnd w:id="46"/>
      <w:bookmarkEnd w:id="47"/>
      <w:bookmarkEnd w:id="48"/>
      <w:bookmarkEnd w:id="49"/>
    </w:p>
    <w:p w14:paraId="275F9DE9" w14:textId="77777777" w:rsidR="00803B40" w:rsidRDefault="00803B40" w:rsidP="00803B40">
      <w:r w:rsidRPr="00240127">
        <w:t xml:space="preserve">Der Service Provider muss ein mit qualifiziertem Fachpersonal besetztes Computer Emergency Response Team </w:t>
      </w:r>
      <w:r>
        <w:t xml:space="preserve">(CERT) </w:t>
      </w:r>
      <w:r w:rsidRPr="00240127">
        <w:t>besitzen. D</w:t>
      </w:r>
      <w:r>
        <w:t>as</w:t>
      </w:r>
      <w:r w:rsidRPr="00240127">
        <w:t xml:space="preserve"> CERT hat drei Aufgaben:</w:t>
      </w:r>
    </w:p>
    <w:p w14:paraId="76C97E00" w14:textId="1A39AE51" w:rsidR="00803B40" w:rsidRPr="00240127" w:rsidRDefault="00803B40" w:rsidP="00803B40">
      <w:pPr>
        <w:pStyle w:val="Listenabsatz"/>
        <w:numPr>
          <w:ilvl w:val="0"/>
          <w:numId w:val="28"/>
        </w:numPr>
      </w:pPr>
      <w:r w:rsidRPr="00240127">
        <w:t xml:space="preserve">Verfolgen </w:t>
      </w:r>
      <w:r>
        <w:t>von Sicherheitswarnungen,</w:t>
      </w:r>
    </w:p>
    <w:p w14:paraId="2AF3C395" w14:textId="77777777" w:rsidR="00803B40" w:rsidRPr="00240127" w:rsidRDefault="00803B40" w:rsidP="00803B40">
      <w:pPr>
        <w:pStyle w:val="Listenabsatz"/>
        <w:numPr>
          <w:ilvl w:val="0"/>
          <w:numId w:val="28"/>
        </w:numPr>
      </w:pPr>
      <w:r w:rsidRPr="00240127">
        <w:t xml:space="preserve">Bewertung von </w:t>
      </w:r>
      <w:r>
        <w:t>Sicherheitswarnungen</w:t>
      </w:r>
      <w:r w:rsidRPr="00240127">
        <w:t xml:space="preserve"> bezüglich der Relevanz und Priorität für die eingesetzten IT-Systeme, Anwendungen und Dienste</w:t>
      </w:r>
      <w:r>
        <w:t>,</w:t>
      </w:r>
    </w:p>
    <w:p w14:paraId="64A2EF16" w14:textId="77777777" w:rsidR="00803B40" w:rsidRPr="00240127" w:rsidRDefault="00803B40" w:rsidP="00803B40">
      <w:pPr>
        <w:pStyle w:val="Listenabsatz"/>
        <w:numPr>
          <w:ilvl w:val="0"/>
          <w:numId w:val="28"/>
        </w:numPr>
      </w:pPr>
      <w:bookmarkStart w:id="51" w:name="_GoBack"/>
      <w:r w:rsidRPr="00240127">
        <w:t>Koord</w:t>
      </w:r>
      <w:bookmarkEnd w:id="51"/>
      <w:r w:rsidRPr="00240127">
        <w:t xml:space="preserve">inierung von Arbeiten und Notfallmaßnahmen im Falle von </w:t>
      </w:r>
      <w:r>
        <w:t>Sicherheitsvorfällen.</w:t>
      </w:r>
    </w:p>
    <w:p w14:paraId="59BB1587" w14:textId="77777777" w:rsidR="00803B40" w:rsidRPr="00240127" w:rsidRDefault="00803B40" w:rsidP="00803B40">
      <w:pPr>
        <w:pStyle w:val="berschrift1"/>
        <w:tabs>
          <w:tab w:val="num" w:pos="432"/>
          <w:tab w:val="left" w:pos="567"/>
        </w:tabs>
        <w:spacing w:line="240" w:lineRule="auto"/>
      </w:pPr>
      <w:bookmarkStart w:id="52" w:name="_Toc88186562"/>
      <w:bookmarkStart w:id="53" w:name="_Toc88186700"/>
      <w:bookmarkStart w:id="54" w:name="_Toc130183587"/>
      <w:bookmarkStart w:id="55" w:name="_Toc446663289"/>
      <w:bookmarkStart w:id="56" w:name="_Toc446665403"/>
      <w:bookmarkEnd w:id="50"/>
      <w:r w:rsidRPr="00240127">
        <w:t>Administration</w:t>
      </w:r>
      <w:bookmarkEnd w:id="52"/>
      <w:bookmarkEnd w:id="53"/>
      <w:bookmarkEnd w:id="54"/>
      <w:bookmarkEnd w:id="55"/>
      <w:bookmarkEnd w:id="56"/>
    </w:p>
    <w:p w14:paraId="44F4D75D" w14:textId="69D00348" w:rsidR="00803B40" w:rsidRPr="00240127" w:rsidRDefault="00803B40" w:rsidP="00F37472">
      <w:r w:rsidRPr="00240127">
        <w:t xml:space="preserve">Bei der Administration von wesentlichen, zentralen Sicherheitskomponenten (Firewall, Gateway-Viren-Scanner, Intrusion </w:t>
      </w:r>
      <w:proofErr w:type="spellStart"/>
      <w:r w:rsidRPr="00240127">
        <w:t>Detection</w:t>
      </w:r>
      <w:proofErr w:type="spellEnd"/>
      <w:r w:rsidRPr="00240127">
        <w:t xml:space="preserve"> Systeme</w:t>
      </w:r>
      <w:r w:rsidR="00F37472">
        <w:t>n</w:t>
      </w:r>
      <w:r w:rsidRPr="00240127">
        <w:t>, Benutzerverwaltung, usw.) muss das Mehr</w:t>
      </w:r>
      <w:r w:rsidR="00F37472">
        <w:t xml:space="preserve">augenprinzip angewendet werden. </w:t>
      </w:r>
      <w:r w:rsidRPr="00240127">
        <w:t>Durch organisatorische und/oder technische Maßnahmen ist sicherzustellen, dass ein einzelner Administrator nicht berechtigt bzw. in der Lage ist, die Zugriffsrechte anderer Anwender zu erhöhen oder Sicherheitskomponenten außer Kraft zu setzen.</w:t>
      </w:r>
      <w:r w:rsidR="00F37472">
        <w:t xml:space="preserve"> </w:t>
      </w:r>
      <w:r w:rsidRPr="00240127">
        <w:t xml:space="preserve">Bei der Änderung von Regelwerken zentraler Sicherheitskomponenten (z.B. Firewall, Viren-Scanner) ist vor der Aktivierung eines neuen Regelwerks durch einen zweiten Administrator die korrekte Umsetzung des Request </w:t>
      </w:r>
      <w:proofErr w:type="spellStart"/>
      <w:r w:rsidRPr="00240127">
        <w:t>for</w:t>
      </w:r>
      <w:proofErr w:type="spellEnd"/>
      <w:r w:rsidRPr="00240127">
        <w:t xml:space="preserve"> Change zu verifizieren.</w:t>
      </w:r>
    </w:p>
    <w:p w14:paraId="5E9DC706" w14:textId="4942281C" w:rsidR="00803B40" w:rsidRPr="00240127" w:rsidRDefault="00F37472" w:rsidP="00F37472">
      <w:r>
        <w:t xml:space="preserve">Werden Systeme aus der Ferne administriert, so gelten folgende zusätzliche Anforderungen: </w:t>
      </w:r>
    </w:p>
    <w:p w14:paraId="65E916A1" w14:textId="190E276F" w:rsidR="00803B40" w:rsidRPr="00240127" w:rsidRDefault="00803B40" w:rsidP="00F37472">
      <w:pPr>
        <w:pStyle w:val="Listenabsatz"/>
        <w:numPr>
          <w:ilvl w:val="0"/>
          <w:numId w:val="31"/>
        </w:numPr>
      </w:pPr>
      <w:r w:rsidRPr="00240127">
        <w:t>Die gesamte Remote-Administrationssitzung muss verschlüsselt erfol</w:t>
      </w:r>
      <w:r w:rsidR="00692E75">
        <w:t>gen,</w:t>
      </w:r>
    </w:p>
    <w:p w14:paraId="3A161C72" w14:textId="28CB1771" w:rsidR="00803B40" w:rsidRPr="00240127" w:rsidRDefault="00692E75" w:rsidP="00F37472">
      <w:pPr>
        <w:pStyle w:val="Listenabsatz"/>
        <w:numPr>
          <w:ilvl w:val="0"/>
          <w:numId w:val="31"/>
        </w:numPr>
      </w:pPr>
      <w:r>
        <w:lastRenderedPageBreak/>
        <w:t>Es</w:t>
      </w:r>
      <w:r w:rsidR="00803B40" w:rsidRPr="00240127">
        <w:t xml:space="preserve"> </w:t>
      </w:r>
      <w:r w:rsidR="00803B40">
        <w:t>dürfen</w:t>
      </w:r>
      <w:r w:rsidR="00803B40" w:rsidRPr="00240127">
        <w:t xml:space="preserve"> zu keinem Zeitpunkt Authentifikationsinformation</w:t>
      </w:r>
      <w:r w:rsidR="00803B40">
        <w:t>en</w:t>
      </w:r>
      <w:r w:rsidR="00803B40" w:rsidRPr="00240127">
        <w:t xml:space="preserve"> (z. B. Benutzername/Passwort) im Klartext über das Internet oder ein anderes Weitverkehrsnetz ü</w:t>
      </w:r>
      <w:r>
        <w:t>bertragen werden,</w:t>
      </w:r>
    </w:p>
    <w:p w14:paraId="7D4E01D9" w14:textId="37B2562E" w:rsidR="00803B40" w:rsidRPr="00240127" w:rsidRDefault="00803B40" w:rsidP="00F37472">
      <w:pPr>
        <w:pStyle w:val="Listenabsatz"/>
        <w:numPr>
          <w:ilvl w:val="0"/>
          <w:numId w:val="31"/>
        </w:numPr>
      </w:pPr>
      <w:r w:rsidRPr="00240127">
        <w:t xml:space="preserve">Für die Authentifikation </w:t>
      </w:r>
      <w:r w:rsidR="00692E75">
        <w:t>eines</w:t>
      </w:r>
      <w:r w:rsidRPr="00240127">
        <w:t xml:space="preserve"> Administrators sind jeweils mindestens zwei Fakto</w:t>
      </w:r>
      <w:r w:rsidR="00692E75">
        <w:t>ren einzusetzen,</w:t>
      </w:r>
    </w:p>
    <w:p w14:paraId="7587B70C" w14:textId="77777777" w:rsidR="00803B40" w:rsidRDefault="00803B40" w:rsidP="00F37472">
      <w:pPr>
        <w:pStyle w:val="Listenabsatz"/>
        <w:numPr>
          <w:ilvl w:val="0"/>
          <w:numId w:val="31"/>
        </w:numPr>
      </w:pPr>
      <w:r w:rsidRPr="00240127">
        <w:t>Remote-Administrationszugriffe sind zu protokollieren.</w:t>
      </w:r>
    </w:p>
    <w:p w14:paraId="72863700" w14:textId="77777777" w:rsidR="00803B40" w:rsidRPr="00240127" w:rsidRDefault="00803B40" w:rsidP="00803B40">
      <w:pPr>
        <w:pStyle w:val="berschrift1"/>
        <w:tabs>
          <w:tab w:val="num" w:pos="432"/>
          <w:tab w:val="left" w:pos="567"/>
        </w:tabs>
        <w:spacing w:line="240" w:lineRule="auto"/>
      </w:pPr>
      <w:bookmarkStart w:id="57" w:name="_Toc88186580"/>
      <w:bookmarkStart w:id="58" w:name="_Toc88186718"/>
      <w:bookmarkStart w:id="59" w:name="_Toc130183589"/>
      <w:bookmarkStart w:id="60" w:name="_Toc446663290"/>
      <w:bookmarkStart w:id="61" w:name="_Toc446665404"/>
      <w:r w:rsidRPr="00240127">
        <w:t>Schutz von Informationen</w:t>
      </w:r>
      <w:bookmarkEnd w:id="57"/>
      <w:bookmarkEnd w:id="58"/>
      <w:bookmarkEnd w:id="59"/>
      <w:bookmarkEnd w:id="60"/>
      <w:bookmarkEnd w:id="61"/>
    </w:p>
    <w:p w14:paraId="65C462EA" w14:textId="5E035417" w:rsidR="00803B40" w:rsidRPr="00240127" w:rsidRDefault="00C9035B" w:rsidP="00F37472">
      <w:bookmarkStart w:id="62" w:name="_Ref85001460"/>
      <w:r>
        <w:t>Der Service Provider hat Verhaltensrichtlinien zum Zwecke des</w:t>
      </w:r>
      <w:r w:rsidRPr="00240127">
        <w:t xml:space="preserve"> Sichern</w:t>
      </w:r>
      <w:r>
        <w:t>s</w:t>
      </w:r>
      <w:r w:rsidRPr="00240127">
        <w:t xml:space="preserve"> von Informationen des Auftraggebers und seiner Kunden</w:t>
      </w:r>
      <w:r>
        <w:t xml:space="preserve"> für seine Mitarbeiter aufzustellen. </w:t>
      </w:r>
      <w:r w:rsidR="00803B40">
        <w:t>Die technischen Sicherheitsmaßnahmen</w:t>
      </w:r>
      <w:r w:rsidR="00F37472">
        <w:t xml:space="preserve"> zum Informationsschutz</w:t>
      </w:r>
      <w:r w:rsidR="00803B40">
        <w:t xml:space="preserve"> müssen dem State-</w:t>
      </w:r>
      <w:proofErr w:type="spellStart"/>
      <w:r w:rsidR="00803B40">
        <w:t>of</w:t>
      </w:r>
      <w:proofErr w:type="spellEnd"/>
      <w:r w:rsidR="00803B40">
        <w:t>-</w:t>
      </w:r>
      <w:proofErr w:type="spellStart"/>
      <w:r w:rsidR="00803B40">
        <w:t>the</w:t>
      </w:r>
      <w:proofErr w:type="spellEnd"/>
      <w:r w:rsidR="00803B40">
        <w:t xml:space="preserve">-Art </w:t>
      </w:r>
      <w:r w:rsidR="00F37472">
        <w:t>(</w:t>
      </w:r>
      <w:r w:rsidR="0087209D">
        <w:t xml:space="preserve">entsprechend ISO 27001 Anhang A) </w:t>
      </w:r>
      <w:r w:rsidR="00803B40">
        <w:t xml:space="preserve">entsprechen. </w:t>
      </w:r>
      <w:r w:rsidR="00692E75">
        <w:t xml:space="preserve">Für </w:t>
      </w:r>
      <w:r w:rsidR="00803B40">
        <w:t>S</w:t>
      </w:r>
      <w:r w:rsidR="00803B40" w:rsidRPr="00240127">
        <w:t>ys</w:t>
      </w:r>
      <w:r w:rsidR="00803B40">
        <w:t>teme, die für die Erbringung der Dienstleistung</w:t>
      </w:r>
      <w:r w:rsidR="00803B40" w:rsidRPr="00240127">
        <w:t xml:space="preserve"> </w:t>
      </w:r>
      <w:r w:rsidR="0087209D">
        <w:t xml:space="preserve">für den Auftraggeber </w:t>
      </w:r>
      <w:r w:rsidR="00803B40" w:rsidRPr="00240127">
        <w:t>vom Internet aus erreichbar sein müssen (exponierte Systeme)</w:t>
      </w:r>
      <w:r w:rsidR="00803B40">
        <w:t>,</w:t>
      </w:r>
      <w:r w:rsidR="00803B40" w:rsidRPr="00240127">
        <w:t xml:space="preserve"> </w:t>
      </w:r>
      <w:r w:rsidR="00692E75">
        <w:t>sind darüber hinaus die folgenden Anforderungen umzusetzen</w:t>
      </w:r>
      <w:r w:rsidR="00803B40" w:rsidRPr="00240127">
        <w:t>:</w:t>
      </w:r>
    </w:p>
    <w:p w14:paraId="3A139841" w14:textId="77777777" w:rsidR="00803B40" w:rsidRPr="00240127" w:rsidRDefault="00803B40" w:rsidP="00F37472">
      <w:pPr>
        <w:pStyle w:val="Listenabsatz"/>
        <w:numPr>
          <w:ilvl w:val="0"/>
          <w:numId w:val="32"/>
        </w:numPr>
      </w:pPr>
      <w:r w:rsidRPr="00240127">
        <w:t>Alle Betriebss</w:t>
      </w:r>
      <w:r>
        <w:t>ysteme sind zu härten: S</w:t>
      </w:r>
      <w:r w:rsidRPr="00240127">
        <w:t>ämtliche nicht benötigten Dienste auf dem exponierten System</w:t>
      </w:r>
      <w:r>
        <w:t xml:space="preserve"> müssen</w:t>
      </w:r>
      <w:r w:rsidRPr="00240127">
        <w:t xml:space="preserve"> deaktiviert werden. Außerdem sind nicht erforderliche Benutzerkonten zu löschen.</w:t>
      </w:r>
    </w:p>
    <w:p w14:paraId="1CC4C903" w14:textId="77777777" w:rsidR="00803B40" w:rsidRPr="00240127" w:rsidRDefault="00803B40" w:rsidP="00F37472">
      <w:pPr>
        <w:pStyle w:val="Listenabsatz"/>
        <w:numPr>
          <w:ilvl w:val="0"/>
          <w:numId w:val="32"/>
        </w:numPr>
      </w:pPr>
      <w:r w:rsidRPr="00240127">
        <w:t xml:space="preserve">Die Betriebssysteme, Dienste und Anwendungen sind </w:t>
      </w:r>
      <w:r>
        <w:t xml:space="preserve">auf </w:t>
      </w:r>
      <w:r w:rsidRPr="00240127">
        <w:t>aktuell</w:t>
      </w:r>
      <w:r>
        <w:t>em Stand</w:t>
      </w:r>
      <w:r w:rsidRPr="00240127">
        <w:t xml:space="preserve"> zu halten. Alle verfügbaren und si</w:t>
      </w:r>
      <w:r>
        <w:t xml:space="preserve">cherheitsrelevanten Patches </w:t>
      </w:r>
      <w:r w:rsidRPr="00240127">
        <w:t>sind – nach vorheriger Funktionsprüfung – umgehend zu installieren.</w:t>
      </w:r>
    </w:p>
    <w:p w14:paraId="446031EF" w14:textId="77777777" w:rsidR="00803B40" w:rsidRPr="00240127" w:rsidRDefault="00803B40" w:rsidP="00F37472">
      <w:pPr>
        <w:pStyle w:val="Listenabsatz"/>
        <w:numPr>
          <w:ilvl w:val="0"/>
          <w:numId w:val="32"/>
        </w:numPr>
      </w:pPr>
      <w:r w:rsidRPr="00240127">
        <w:t>Durch ein mehrstufiges Firewall-System (</w:t>
      </w:r>
      <w:proofErr w:type="spellStart"/>
      <w:r w:rsidRPr="00240127">
        <w:t>Stateful</w:t>
      </w:r>
      <w:proofErr w:type="spellEnd"/>
      <w:r w:rsidRPr="00240127">
        <w:t xml:space="preserve"> </w:t>
      </w:r>
      <w:proofErr w:type="spellStart"/>
      <w:r w:rsidRPr="00240127">
        <w:t>Inspection</w:t>
      </w:r>
      <w:proofErr w:type="spellEnd"/>
      <w:r w:rsidRPr="00240127">
        <w:t xml:space="preserve"> + Paketfilter) ist der Zugang vom Internet auf das exponierte System auf die für die Erbringung des Dienstes benötigten Kommunikationsprotokolle einzuschränken.</w:t>
      </w:r>
    </w:p>
    <w:p w14:paraId="3968805B" w14:textId="77777777" w:rsidR="00803B40" w:rsidRDefault="00803B40" w:rsidP="00803B40">
      <w:pPr>
        <w:pStyle w:val="berschrift1"/>
        <w:tabs>
          <w:tab w:val="num" w:pos="432"/>
          <w:tab w:val="left" w:pos="567"/>
        </w:tabs>
        <w:spacing w:line="240" w:lineRule="auto"/>
      </w:pPr>
      <w:bookmarkStart w:id="63" w:name="_Toc88186585"/>
      <w:bookmarkStart w:id="64" w:name="_Toc88186723"/>
      <w:bookmarkStart w:id="65" w:name="_Ref90351736"/>
      <w:bookmarkStart w:id="66" w:name="_Ref121216980"/>
      <w:bookmarkStart w:id="67" w:name="_Toc130183590"/>
      <w:bookmarkStart w:id="68" w:name="_Toc446663291"/>
      <w:bookmarkStart w:id="69" w:name="_Toc446665405"/>
      <w:r w:rsidRPr="00240127">
        <w:t>Datensicherung (Backup)</w:t>
      </w:r>
      <w:bookmarkEnd w:id="62"/>
      <w:bookmarkEnd w:id="63"/>
      <w:bookmarkEnd w:id="64"/>
      <w:bookmarkEnd w:id="65"/>
      <w:bookmarkEnd w:id="66"/>
      <w:bookmarkEnd w:id="67"/>
      <w:bookmarkEnd w:id="68"/>
      <w:bookmarkEnd w:id="69"/>
    </w:p>
    <w:p w14:paraId="52064540" w14:textId="6007DC8E" w:rsidR="00F37472" w:rsidRDefault="00803B40" w:rsidP="00803B40">
      <w:r w:rsidRPr="00752B26">
        <w:t>Die Datensicherung ist regelmäßig durchzuführen. Zur Realisierung ist eine dem aktuellen Stand der Technik entsprechende Backup-</w:t>
      </w:r>
      <w:r w:rsidR="00692E75">
        <w:t>Lösung</w:t>
      </w:r>
      <w:r w:rsidRPr="00752B26">
        <w:t xml:space="preserve"> einzusetzen.</w:t>
      </w:r>
      <w:r>
        <w:t xml:space="preserve"> </w:t>
      </w:r>
      <w:r w:rsidRPr="00752B26">
        <w:t>Der Service Provider stellt sicher, dass alle deutschen gesetzlichen Bestimmungen bezüglich der Aufbewahrungsfristen von Daten strengstens eingehalten und überwacht werden.</w:t>
      </w:r>
      <w:r>
        <w:t xml:space="preserve"> </w:t>
      </w:r>
      <w:r w:rsidR="00873B42">
        <w:t>Diese sind im Anhang zusammen</w:t>
      </w:r>
      <w:r w:rsidR="00C9035B">
        <w:t>gefasst.</w:t>
      </w:r>
    </w:p>
    <w:p w14:paraId="4D07F96D" w14:textId="0D575BFD" w:rsidR="00F37472" w:rsidRDefault="00803B40" w:rsidP="00803B40">
      <w:r w:rsidRPr="00752B26">
        <w:t>Der Service Provider ist verpflichtet, alle Datensicherungen von Systemen auf deren erfolgreichen Ablauf, Vollständigkeit und Fehlerfreiheit hin zu überprüfen. Das Ergebnis der jeweiligen Überprüfung ist in geeigneter Form zu dokumentieren.</w:t>
      </w:r>
      <w:r>
        <w:t xml:space="preserve"> </w:t>
      </w:r>
      <w:r w:rsidRPr="00752B26">
        <w:t xml:space="preserve">Um die Konsistenz der Datensicherungen und ein reibungsloses Rücksichern im Schadensfall sicherzustellen, ist der Service Provider verpflichtet, mindestens alle 6 Monate einen </w:t>
      </w:r>
      <w:proofErr w:type="spellStart"/>
      <w:r w:rsidRPr="00752B26">
        <w:t>D</w:t>
      </w:r>
      <w:r w:rsidR="00873B42">
        <w:t>i</w:t>
      </w:r>
      <w:r w:rsidRPr="00752B26">
        <w:t>saster</w:t>
      </w:r>
      <w:proofErr w:type="spellEnd"/>
      <w:r w:rsidRPr="00752B26">
        <w:t xml:space="preserve"> </w:t>
      </w:r>
      <w:proofErr w:type="spellStart"/>
      <w:r w:rsidRPr="00752B26">
        <w:t>Recovery</w:t>
      </w:r>
      <w:proofErr w:type="spellEnd"/>
      <w:r w:rsidRPr="00752B26">
        <w:t xml:space="preserve"> Test durchzuführen. </w:t>
      </w:r>
      <w:bookmarkStart w:id="70" w:name="_Ref84918636"/>
    </w:p>
    <w:p w14:paraId="722A676E" w14:textId="5692327A" w:rsidR="00F37472" w:rsidRDefault="00803B40" w:rsidP="00803B40">
      <w:r w:rsidRPr="00752B26">
        <w:t>Soweit möglich sind die Daten auf dem Datenträger mit einem auf dem aktuellen Stand der Technik befindlichen System zu verschlüsseln.</w:t>
      </w:r>
      <w:bookmarkEnd w:id="70"/>
      <w:r>
        <w:t xml:space="preserve"> </w:t>
      </w:r>
      <w:r w:rsidRPr="00752B26">
        <w:t xml:space="preserve">Datenträger sind grundsätzlich in dafür geeigneten Schutzschränken zu lagern. Außerhalb der Geschäftsräume des Service Providers dürfen Datenträger nur bei einer Bank oder einem nachweislich auf die Lagerung von Datenträgern spezialisierten Unternehmen gelagert werden. Ausnahmen sind in Absprache mit </w:t>
      </w:r>
      <w:r>
        <w:t>dem Auftraggeber</w:t>
      </w:r>
      <w:r w:rsidRPr="00752B26">
        <w:t xml:space="preserve"> möglich. </w:t>
      </w:r>
    </w:p>
    <w:p w14:paraId="7910F76D" w14:textId="4C76140B" w:rsidR="00803B40" w:rsidRDefault="00803B40" w:rsidP="00803B40">
      <w:r>
        <w:rPr>
          <w:noProof/>
        </w:rPr>
        <w:t xml:space="preserve">Sobald Datenträger nicht mehr benutzt werden, sind sie zu zerstören oder die Daten müssen </w:t>
      </w:r>
      <w:r w:rsidR="00692E75">
        <w:rPr>
          <w:noProof/>
        </w:rPr>
        <w:t xml:space="preserve">so </w:t>
      </w:r>
      <w:r>
        <w:rPr>
          <w:noProof/>
        </w:rPr>
        <w:t>gelöscht werden</w:t>
      </w:r>
      <w:r w:rsidR="00692E75">
        <w:rPr>
          <w:noProof/>
        </w:rPr>
        <w:t>, dass</w:t>
      </w:r>
      <w:r>
        <w:rPr>
          <w:noProof/>
        </w:rPr>
        <w:t xml:space="preserve"> keine Daten mehr zugänglich sind.</w:t>
      </w:r>
      <w:bookmarkStart w:id="71" w:name="_Toc88186590"/>
      <w:bookmarkStart w:id="72" w:name="_Toc88186728"/>
    </w:p>
    <w:p w14:paraId="1AF0FEAB" w14:textId="77777777" w:rsidR="00803B40" w:rsidRDefault="00803B40" w:rsidP="00803B40">
      <w:pPr>
        <w:pStyle w:val="berschrift1"/>
        <w:tabs>
          <w:tab w:val="num" w:pos="432"/>
          <w:tab w:val="left" w:pos="567"/>
        </w:tabs>
        <w:spacing w:line="240" w:lineRule="auto"/>
        <w:rPr>
          <w:lang w:eastAsia="de-DE"/>
        </w:rPr>
      </w:pPr>
      <w:bookmarkStart w:id="73" w:name="_Toc446663292"/>
      <w:bookmarkStart w:id="74" w:name="_Toc446665406"/>
      <w:r>
        <w:rPr>
          <w:lang w:eastAsia="de-DE"/>
        </w:rPr>
        <w:lastRenderedPageBreak/>
        <w:t>Security Audits</w:t>
      </w:r>
      <w:bookmarkEnd w:id="73"/>
      <w:bookmarkEnd w:id="74"/>
      <w:r>
        <w:rPr>
          <w:lang w:eastAsia="de-DE"/>
        </w:rPr>
        <w:t xml:space="preserve"> </w:t>
      </w:r>
    </w:p>
    <w:p w14:paraId="41E7DD29" w14:textId="371B390C" w:rsidR="00803B40" w:rsidRDefault="00803B40" w:rsidP="00F37472">
      <w:pPr>
        <w:rPr>
          <w:lang w:eastAsia="de-DE"/>
        </w:rPr>
      </w:pPr>
      <w:r>
        <w:rPr>
          <w:lang w:eastAsia="de-DE"/>
        </w:rPr>
        <w:t>Der Auftraggeber hat das Recht, jederzeit Security Audits durchzuführen</w:t>
      </w:r>
      <w:r w:rsidR="00692E75">
        <w:rPr>
          <w:lang w:eastAsia="de-DE"/>
        </w:rPr>
        <w:t xml:space="preserve">. Die Durchführung der Security </w:t>
      </w:r>
      <w:r>
        <w:rPr>
          <w:lang w:eastAsia="de-DE"/>
        </w:rPr>
        <w:t xml:space="preserve">Audits wird mit einer Vorlaufzeit von mindestens 7 Tagen seitens des Auftraggebers bekannt gegeben. </w:t>
      </w:r>
    </w:p>
    <w:p w14:paraId="144639F8" w14:textId="49A5F821" w:rsidR="00803B40" w:rsidRDefault="00803B40" w:rsidP="00F37472">
      <w:r w:rsidRPr="00240127">
        <w:t xml:space="preserve">Der Service Provider ist verpflichtet, durch regelmäßige Penetrationstests </w:t>
      </w:r>
      <w:r>
        <w:t>die Informationen</w:t>
      </w:r>
      <w:r w:rsidRPr="00240127">
        <w:t xml:space="preserve"> in der </w:t>
      </w:r>
      <w:r>
        <w:t>CMDB</w:t>
      </w:r>
      <w:r w:rsidRPr="00240127">
        <w:t xml:space="preserve"> dokumentierten IT-Systeme, Anwendungen und Dienste zu verifizieren und sei</w:t>
      </w:r>
      <w:r w:rsidR="0087209D">
        <w:t>ne Systeme auf Sicherheitsschwachstellen</w:t>
      </w:r>
      <w:r w:rsidRPr="00240127">
        <w:t xml:space="preserve"> zu untersuchen. </w:t>
      </w:r>
    </w:p>
    <w:p w14:paraId="30539989" w14:textId="0103BF41" w:rsidR="00803B40" w:rsidRDefault="00803B40" w:rsidP="00F37472">
      <w:pPr>
        <w:rPr>
          <w:lang w:eastAsia="de-DE"/>
        </w:rPr>
      </w:pPr>
      <w:r>
        <w:rPr>
          <w:lang w:eastAsia="de-DE"/>
        </w:rPr>
        <w:t>Werden im Rahmen der Untersuchung</w:t>
      </w:r>
      <w:r w:rsidR="00692E75">
        <w:rPr>
          <w:lang w:eastAsia="de-DE"/>
        </w:rPr>
        <w:t>en</w:t>
      </w:r>
      <w:r>
        <w:rPr>
          <w:lang w:eastAsia="de-DE"/>
        </w:rPr>
        <w:t xml:space="preserve"> </w:t>
      </w:r>
      <w:r w:rsidR="0087209D">
        <w:rPr>
          <w:lang w:eastAsia="de-DE"/>
        </w:rPr>
        <w:t>Sicherheitsschwachstellen</w:t>
      </w:r>
      <w:r>
        <w:rPr>
          <w:lang w:eastAsia="de-DE"/>
        </w:rPr>
        <w:t xml:space="preserve"> aufgedeckt, </w:t>
      </w:r>
      <w:r w:rsidRPr="007A72A3">
        <w:rPr>
          <w:lang w:eastAsia="de-DE"/>
        </w:rPr>
        <w:t xml:space="preserve">müssen diese </w:t>
      </w:r>
      <w:r>
        <w:rPr>
          <w:lang w:eastAsia="de-DE"/>
        </w:rPr>
        <w:t xml:space="preserve">unverzüglich vom Service Provider </w:t>
      </w:r>
      <w:r w:rsidRPr="007A72A3">
        <w:rPr>
          <w:lang w:eastAsia="de-DE"/>
        </w:rPr>
        <w:t>beseitigt werden.</w:t>
      </w:r>
      <w:r>
        <w:rPr>
          <w:lang w:eastAsia="de-DE"/>
        </w:rPr>
        <w:t xml:space="preserve"> Dazu ist dem Auftraggeber binnen einer Frist von 1 Woche ein Konzept zur Beseitigung der </w:t>
      </w:r>
      <w:r w:rsidR="0087209D">
        <w:rPr>
          <w:lang w:eastAsia="de-DE"/>
        </w:rPr>
        <w:t>Sicherheitsschwachstellen</w:t>
      </w:r>
      <w:r>
        <w:rPr>
          <w:lang w:eastAsia="de-DE"/>
        </w:rPr>
        <w:t xml:space="preserve"> vorzulegen. </w:t>
      </w:r>
    </w:p>
    <w:p w14:paraId="67F82283" w14:textId="77777777" w:rsidR="00803B40" w:rsidRPr="00240127" w:rsidRDefault="00803B40" w:rsidP="00803B40">
      <w:pPr>
        <w:pStyle w:val="berschrift1"/>
        <w:tabs>
          <w:tab w:val="num" w:pos="432"/>
          <w:tab w:val="left" w:pos="567"/>
        </w:tabs>
        <w:spacing w:line="240" w:lineRule="auto"/>
      </w:pPr>
      <w:bookmarkStart w:id="75" w:name="_Toc446663294"/>
      <w:bookmarkStart w:id="76" w:name="_Toc446665407"/>
      <w:bookmarkEnd w:id="71"/>
      <w:bookmarkEnd w:id="72"/>
      <w:r>
        <w:t>Reporting</w:t>
      </w:r>
      <w:bookmarkEnd w:id="75"/>
      <w:bookmarkEnd w:id="76"/>
    </w:p>
    <w:p w14:paraId="583644EC" w14:textId="77777777" w:rsidR="00692E75" w:rsidRDefault="00803B40" w:rsidP="00803B40">
      <w:r w:rsidRPr="00240127">
        <w:t>Der Ser</w:t>
      </w:r>
      <w:r>
        <w:t>vice Provider ist verpflichtet,</w:t>
      </w:r>
      <w:r w:rsidRPr="00240127">
        <w:t xml:space="preserve"> ein</w:t>
      </w:r>
      <w:r>
        <w:t xml:space="preserve"> monatliches</w:t>
      </w:r>
      <w:r w:rsidRPr="00240127">
        <w:t xml:space="preserve"> Security-Reporting durchzuführen.</w:t>
      </w:r>
      <w:r>
        <w:t xml:space="preserve"> Das Reporting enthält mindestens Informationen über alle im Berichtszeitraum bearbeiteten</w:t>
      </w:r>
      <w:r w:rsidR="00692E75">
        <w:t>:</w:t>
      </w:r>
    </w:p>
    <w:p w14:paraId="33811BEE" w14:textId="77777777" w:rsidR="00692E75" w:rsidRDefault="00692E75" w:rsidP="00692E75">
      <w:pPr>
        <w:pStyle w:val="Listenabsatz"/>
        <w:numPr>
          <w:ilvl w:val="0"/>
          <w:numId w:val="33"/>
        </w:numPr>
      </w:pPr>
      <w:r>
        <w:t xml:space="preserve">Request </w:t>
      </w:r>
      <w:proofErr w:type="spellStart"/>
      <w:r>
        <w:t>for</w:t>
      </w:r>
      <w:proofErr w:type="spellEnd"/>
      <w:r>
        <w:t xml:space="preserve"> </w:t>
      </w:r>
      <w:proofErr w:type="spellStart"/>
      <w:r>
        <w:t>Changes</w:t>
      </w:r>
      <w:proofErr w:type="spellEnd"/>
      <w:r>
        <w:t xml:space="preserve">, </w:t>
      </w:r>
    </w:p>
    <w:p w14:paraId="118188FC" w14:textId="092B92D4" w:rsidR="00692E75" w:rsidRDefault="00692E75" w:rsidP="00692E75">
      <w:pPr>
        <w:pStyle w:val="Listenabsatz"/>
        <w:numPr>
          <w:ilvl w:val="0"/>
          <w:numId w:val="33"/>
        </w:numPr>
      </w:pPr>
      <w:r>
        <w:t>Sicherheitsvorfälle,</w:t>
      </w:r>
    </w:p>
    <w:p w14:paraId="017BFAA7" w14:textId="77777777" w:rsidR="00692E75" w:rsidRDefault="00803B40" w:rsidP="00692E75">
      <w:pPr>
        <w:pStyle w:val="Listenabsatz"/>
        <w:numPr>
          <w:ilvl w:val="0"/>
          <w:numId w:val="33"/>
        </w:numPr>
      </w:pPr>
      <w:r>
        <w:t xml:space="preserve">Sicherheitswarnungen und </w:t>
      </w:r>
    </w:p>
    <w:p w14:paraId="3550FC78" w14:textId="5A1AB50D" w:rsidR="00803B40" w:rsidRPr="00240127" w:rsidRDefault="00692E75" w:rsidP="00692E75">
      <w:pPr>
        <w:pStyle w:val="Listenabsatz"/>
        <w:numPr>
          <w:ilvl w:val="0"/>
          <w:numId w:val="33"/>
        </w:numPr>
      </w:pPr>
      <w:r>
        <w:t>Security Audits.</w:t>
      </w:r>
    </w:p>
    <w:p w14:paraId="7EF24B40" w14:textId="77777777" w:rsidR="00803B40" w:rsidRPr="00240127" w:rsidRDefault="00803B40" w:rsidP="00803B40">
      <w:pPr>
        <w:pStyle w:val="berschrift1"/>
        <w:tabs>
          <w:tab w:val="num" w:pos="432"/>
          <w:tab w:val="left" w:pos="567"/>
        </w:tabs>
        <w:spacing w:line="240" w:lineRule="auto"/>
      </w:pPr>
      <w:bookmarkStart w:id="77" w:name="_Toc88186614"/>
      <w:bookmarkStart w:id="78" w:name="_Toc88186752"/>
      <w:bookmarkStart w:id="79" w:name="_Ref120940093"/>
      <w:bookmarkStart w:id="80" w:name="_Toc130183609"/>
      <w:bookmarkStart w:id="81" w:name="_Toc446663295"/>
      <w:bookmarkStart w:id="82" w:name="_Toc446665408"/>
      <w:r w:rsidRPr="00240127">
        <w:t>Fachkenntnisse des Service Providers</w:t>
      </w:r>
      <w:bookmarkEnd w:id="77"/>
      <w:bookmarkEnd w:id="78"/>
      <w:bookmarkEnd w:id="79"/>
      <w:bookmarkEnd w:id="80"/>
      <w:bookmarkEnd w:id="81"/>
      <w:bookmarkEnd w:id="82"/>
    </w:p>
    <w:p w14:paraId="4F78908A" w14:textId="4DA09D85" w:rsidR="00803B40" w:rsidRPr="00240127" w:rsidRDefault="00803B40" w:rsidP="00F37472">
      <w:r w:rsidRPr="00240127">
        <w:t xml:space="preserve">Der Service Provider hat dafür Sorge zu tragen, dass die mit der Betreuung von Systemen gemäß Vertrag über Systembetreuung betrauten Mitarbeiter für die entsprechenden Systemtypen und herstellerspezifischen Softwaremodule </w:t>
      </w:r>
      <w:r>
        <w:t xml:space="preserve">qualifiziert und ggf. </w:t>
      </w:r>
      <w:r w:rsidRPr="00240127">
        <w:t>zertifiziert sind. Dies gilt insbesondere für solche Mitarbeiter, die mit der Admin</w:t>
      </w:r>
      <w:r w:rsidR="00692E75">
        <w:t>i</w:t>
      </w:r>
      <w:r w:rsidRPr="00240127">
        <w:t xml:space="preserve">stration von sicherheitsrelevanten Systemen betraut sind (z.B. Firewall, zentraler Virenschutz und Intrusion </w:t>
      </w:r>
      <w:proofErr w:type="spellStart"/>
      <w:r w:rsidRPr="00240127">
        <w:t>Detection</w:t>
      </w:r>
      <w:proofErr w:type="spellEnd"/>
      <w:r w:rsidRPr="00240127">
        <w:t xml:space="preserve"> Systeme).</w:t>
      </w:r>
    </w:p>
    <w:p w14:paraId="5F4DDE7D" w14:textId="77777777" w:rsidR="00803B40" w:rsidRPr="00240127" w:rsidRDefault="00803B40" w:rsidP="00803B40">
      <w:pPr>
        <w:pStyle w:val="berschrift1"/>
        <w:tabs>
          <w:tab w:val="num" w:pos="432"/>
          <w:tab w:val="left" w:pos="567"/>
        </w:tabs>
        <w:spacing w:line="240" w:lineRule="auto"/>
      </w:pPr>
      <w:bookmarkStart w:id="83" w:name="_Toc130183596"/>
      <w:bookmarkStart w:id="84" w:name="_Toc130183984"/>
      <w:bookmarkStart w:id="85" w:name="_Toc130183600"/>
      <w:bookmarkStart w:id="86" w:name="_Toc130183988"/>
      <w:bookmarkStart w:id="87" w:name="_Toc130183602"/>
      <w:bookmarkStart w:id="88" w:name="_Toc130183990"/>
      <w:bookmarkStart w:id="89" w:name="_Toc88186599"/>
      <w:bookmarkStart w:id="90" w:name="_Toc88186737"/>
      <w:bookmarkStart w:id="91" w:name="_Toc130183606"/>
      <w:bookmarkStart w:id="92" w:name="_Toc446663296"/>
      <w:bookmarkStart w:id="93" w:name="_Toc446665409"/>
      <w:bookmarkStart w:id="94" w:name="_Toc88186623"/>
      <w:bookmarkStart w:id="95" w:name="_Toc88186761"/>
      <w:bookmarkStart w:id="96" w:name="_Toc130183611"/>
      <w:bookmarkEnd w:id="83"/>
      <w:bookmarkEnd w:id="84"/>
      <w:bookmarkEnd w:id="85"/>
      <w:bookmarkEnd w:id="86"/>
      <w:bookmarkEnd w:id="87"/>
      <w:bookmarkEnd w:id="88"/>
      <w:r w:rsidRPr="00240127">
        <w:t>Subunternehmer</w:t>
      </w:r>
      <w:bookmarkEnd w:id="89"/>
      <w:bookmarkEnd w:id="90"/>
      <w:bookmarkEnd w:id="91"/>
      <w:bookmarkEnd w:id="92"/>
      <w:bookmarkEnd w:id="93"/>
    </w:p>
    <w:p w14:paraId="495D51E1" w14:textId="565A5FD3" w:rsidR="00803B40" w:rsidRDefault="00803B40" w:rsidP="00803B40">
      <w:r w:rsidRPr="00240127">
        <w:t xml:space="preserve">Bei Einsatz von Subunternehmern und Erfüllungsgehilfen zur Erbringung der Services und Dienstleistungen gemäß Vertrag über Systembetreuung haftet der Service Provider grundsätzlich unbeschränkt als Generalunternehmer gegenüber dem Auftraggeber und seiner Kunden </w:t>
      </w:r>
      <w:r w:rsidR="001C028E" w:rsidRPr="00240127">
        <w:t>in</w:t>
      </w:r>
      <w:r w:rsidRPr="00240127">
        <w:t xml:space="preserve"> Bezug auf Sicherheitsverletzungen oder Imageschäden.</w:t>
      </w:r>
    </w:p>
    <w:p w14:paraId="1C1AF0DE" w14:textId="77777777" w:rsidR="00803B40" w:rsidRPr="003578F6" w:rsidRDefault="00803B40" w:rsidP="00803B40">
      <w:pPr>
        <w:pStyle w:val="berschrift1"/>
        <w:tabs>
          <w:tab w:val="num" w:pos="432"/>
          <w:tab w:val="left" w:pos="567"/>
        </w:tabs>
        <w:spacing w:line="240" w:lineRule="auto"/>
      </w:pPr>
      <w:bookmarkStart w:id="97" w:name="_Toc446663297"/>
      <w:bookmarkStart w:id="98" w:name="_Toc446665410"/>
      <w:r w:rsidRPr="00240127">
        <w:t>Mitwirkungspflichten des Auftraggebers</w:t>
      </w:r>
      <w:bookmarkEnd w:id="94"/>
      <w:bookmarkEnd w:id="95"/>
      <w:bookmarkEnd w:id="96"/>
      <w:bookmarkEnd w:id="97"/>
      <w:bookmarkEnd w:id="98"/>
    </w:p>
    <w:p w14:paraId="55100116" w14:textId="5A1B27A1" w:rsidR="00803B40" w:rsidRPr="00240127" w:rsidRDefault="00803B40" w:rsidP="00803B40">
      <w:r w:rsidRPr="00240127">
        <w:t>Der Auftraggeber verpflichtet sich, dem Service Provider alle zur Einhaltung der Anforderungen aus diesem Dokument erforderlichen Daten, Informationen und Dokumente zur Verfügung zu stellen.</w:t>
      </w:r>
    </w:p>
    <w:p w14:paraId="62067F62" w14:textId="3681B5AB" w:rsidR="00803B40" w:rsidRDefault="00803B40" w:rsidP="00803B40">
      <w:r w:rsidRPr="00240127">
        <w:t xml:space="preserve">Der Auftraggeber </w:t>
      </w:r>
      <w:r w:rsidR="0087209D">
        <w:t>trägt</w:t>
      </w:r>
      <w:r w:rsidRPr="00240127">
        <w:t xml:space="preserve"> dafür Sorge, dass gemäß </w:t>
      </w:r>
      <w:r w:rsidR="0087209D">
        <w:t xml:space="preserve">insbesondere </w:t>
      </w:r>
      <w:r w:rsidRPr="00240127">
        <w:t xml:space="preserve">im Falle eines </w:t>
      </w:r>
      <w:r>
        <w:t>Sicherheitsvorfalls</w:t>
      </w:r>
      <w:r w:rsidRPr="00240127">
        <w:t xml:space="preserve"> ein qualifizierter und autorisierter Ansprechpartner zur Verfügung steht.</w:t>
      </w:r>
    </w:p>
    <w:p w14:paraId="2E51BD00" w14:textId="77777777" w:rsidR="00803B40" w:rsidRPr="006F53C2" w:rsidRDefault="00803B40" w:rsidP="00803B40">
      <w:pPr>
        <w:pStyle w:val="berschrift1"/>
        <w:tabs>
          <w:tab w:val="num" w:pos="432"/>
          <w:tab w:val="left" w:pos="567"/>
        </w:tabs>
        <w:spacing w:line="240" w:lineRule="auto"/>
        <w:rPr>
          <w:lang w:eastAsia="de-DE"/>
        </w:rPr>
      </w:pPr>
      <w:bookmarkStart w:id="99" w:name="_Toc446663298"/>
      <w:bookmarkStart w:id="100" w:name="_Toc446665411"/>
      <w:r>
        <w:rPr>
          <w:lang w:eastAsia="de-DE"/>
        </w:rPr>
        <w:lastRenderedPageBreak/>
        <w:t>Weitere Richtlinien</w:t>
      </w:r>
      <w:bookmarkEnd w:id="99"/>
      <w:bookmarkEnd w:id="100"/>
    </w:p>
    <w:p w14:paraId="5F380888" w14:textId="427FFBED" w:rsidR="00BD4DC2" w:rsidRDefault="00803B40" w:rsidP="00E23F28">
      <w:pPr>
        <w:rPr>
          <w:lang w:eastAsia="de-DE"/>
        </w:rPr>
      </w:pPr>
      <w:r w:rsidRPr="004631FA">
        <w:rPr>
          <w:lang w:eastAsia="de-DE"/>
        </w:rPr>
        <w:t xml:space="preserve">Im Falle von länderübergreifendem Service-Providing </w:t>
      </w:r>
      <w:r>
        <w:rPr>
          <w:lang w:eastAsia="de-DE"/>
        </w:rPr>
        <w:t>müssen</w:t>
      </w:r>
      <w:r w:rsidRPr="004631FA">
        <w:rPr>
          <w:lang w:eastAsia="de-DE"/>
        </w:rPr>
        <w:t xml:space="preserve"> die Richtlinien und Gesetze </w:t>
      </w:r>
      <w:r>
        <w:rPr>
          <w:lang w:eastAsia="de-DE"/>
        </w:rPr>
        <w:t>aller beteiligten Länder</w:t>
      </w:r>
      <w:r w:rsidRPr="004631FA">
        <w:rPr>
          <w:lang w:eastAsia="de-DE"/>
        </w:rPr>
        <w:t xml:space="preserve"> eingehalten werden</w:t>
      </w:r>
      <w:r>
        <w:rPr>
          <w:lang w:eastAsia="de-DE"/>
        </w:rPr>
        <w:t>.</w:t>
      </w:r>
      <w:r w:rsidR="00BD4DC2">
        <w:rPr>
          <w:lang w:eastAsia="de-DE"/>
        </w:rPr>
        <w:br w:type="page"/>
      </w:r>
    </w:p>
    <w:p w14:paraId="42F09926" w14:textId="77777777" w:rsidR="00873B42" w:rsidRDefault="00873B42" w:rsidP="00E23F28">
      <w:pPr>
        <w:pStyle w:val="berschrift1"/>
        <w:numPr>
          <w:ilvl w:val="0"/>
          <w:numId w:val="0"/>
        </w:numPr>
        <w:rPr>
          <w:lang w:eastAsia="de-DE"/>
        </w:rPr>
      </w:pPr>
    </w:p>
    <w:p w14:paraId="07F9FD89" w14:textId="14D7B47B" w:rsidR="007F47AC" w:rsidRDefault="00BD4DC2" w:rsidP="00E23F28">
      <w:pPr>
        <w:pStyle w:val="berschrift1"/>
        <w:numPr>
          <w:ilvl w:val="0"/>
          <w:numId w:val="0"/>
        </w:numPr>
        <w:rPr>
          <w:lang w:eastAsia="de-DE"/>
        </w:rPr>
      </w:pPr>
      <w:r>
        <w:rPr>
          <w:lang w:eastAsia="de-DE"/>
        </w:rPr>
        <w:t>Anhang</w:t>
      </w:r>
      <w:r w:rsidR="00C9035B">
        <w:rPr>
          <w:lang w:eastAsia="de-DE"/>
        </w:rPr>
        <w:t xml:space="preserve"> A</w:t>
      </w:r>
    </w:p>
    <w:p w14:paraId="0BD82885" w14:textId="49A09731" w:rsidR="00BD4DC2" w:rsidRPr="00E23F28" w:rsidRDefault="00BD4DC2" w:rsidP="0087209D">
      <w:pPr>
        <w:rPr>
          <w:b/>
          <w:lang w:eastAsia="de-DE"/>
        </w:rPr>
      </w:pPr>
      <w:r w:rsidRPr="00E23F28">
        <w:rPr>
          <w:b/>
          <w:lang w:eastAsia="de-DE"/>
        </w:rPr>
        <w:t>Verpflichtende Angaben für eine Sicherheitsmeldung an den Auftraggeber</w:t>
      </w:r>
      <w:r w:rsidR="007F47AC" w:rsidRPr="00E23F28">
        <w:rPr>
          <w:b/>
          <w:lang w:eastAsia="de-DE"/>
        </w:rPr>
        <w:t xml:space="preserve">: </w:t>
      </w:r>
    </w:p>
    <w:p w14:paraId="0D6A7C77" w14:textId="742A42A2" w:rsidR="007F47AC" w:rsidRPr="00E23F28" w:rsidRDefault="007F47AC" w:rsidP="00E23F28">
      <w:pPr>
        <w:pStyle w:val="Listenabsatz"/>
        <w:widowControl w:val="0"/>
        <w:numPr>
          <w:ilvl w:val="0"/>
          <w:numId w:val="34"/>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Theme="minorHAnsi" w:hAnsiTheme="minorHAnsi" w:cs="Helvetica"/>
          <w:sz w:val="24"/>
          <w:szCs w:val="24"/>
          <w:lang w:eastAsia="de-DE"/>
        </w:rPr>
      </w:pPr>
      <w:r w:rsidRPr="00E23F28">
        <w:rPr>
          <w:rFonts w:asciiTheme="minorHAnsi" w:hAnsiTheme="minorHAnsi" w:cs="Helvetica"/>
          <w:b/>
          <w:bCs/>
          <w:sz w:val="24"/>
          <w:szCs w:val="24"/>
          <w:lang w:eastAsia="de-DE"/>
        </w:rPr>
        <w:t>ID</w:t>
      </w:r>
    </w:p>
    <w:p w14:paraId="5111FE54" w14:textId="0E8C0FA3" w:rsidR="007F47AC" w:rsidRPr="00E23F28" w:rsidRDefault="007F47AC" w:rsidP="007F47A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Theme="minorHAnsi" w:hAnsiTheme="minorHAnsi" w:cs="Helvetica"/>
          <w:bCs/>
          <w:szCs w:val="24"/>
          <w:lang w:eastAsia="de-DE"/>
        </w:rPr>
      </w:pPr>
      <w:r w:rsidRPr="00E23F28">
        <w:rPr>
          <w:rFonts w:asciiTheme="minorHAnsi" w:hAnsiTheme="minorHAnsi" w:cs="Helvetica"/>
          <w:bCs/>
          <w:szCs w:val="24"/>
          <w:lang w:eastAsia="de-DE"/>
        </w:rPr>
        <w:t>&lt;</w:t>
      </w:r>
      <w:r w:rsidRPr="00E23F28">
        <w:rPr>
          <w:rFonts w:asciiTheme="minorHAnsi" w:hAnsiTheme="minorHAnsi" w:cs="Helvetica"/>
          <w:bCs/>
          <w:i/>
          <w:szCs w:val="24"/>
          <w:lang w:eastAsia="de-DE"/>
        </w:rPr>
        <w:t xml:space="preserve">Bitte vergeben Sie </w:t>
      </w:r>
      <w:r w:rsidR="00BA7F8E">
        <w:rPr>
          <w:rFonts w:asciiTheme="minorHAnsi" w:hAnsiTheme="minorHAnsi" w:cs="Helvetica"/>
          <w:bCs/>
          <w:i/>
          <w:szCs w:val="24"/>
          <w:lang w:eastAsia="de-DE"/>
        </w:rPr>
        <w:t>eine ID für die Meldung, z.B. FIRMA</w:t>
      </w:r>
      <w:r w:rsidRPr="00E23F28">
        <w:rPr>
          <w:rFonts w:asciiTheme="minorHAnsi" w:hAnsiTheme="minorHAnsi" w:cs="Helvetica"/>
          <w:bCs/>
          <w:i/>
          <w:szCs w:val="24"/>
          <w:lang w:eastAsia="de-DE"/>
        </w:rPr>
        <w:t>-2016-01</w:t>
      </w:r>
      <w:r w:rsidRPr="00E23F28">
        <w:rPr>
          <w:rFonts w:asciiTheme="minorHAnsi" w:hAnsiTheme="minorHAnsi" w:cs="Helvetica"/>
          <w:bCs/>
          <w:szCs w:val="24"/>
          <w:lang w:eastAsia="de-DE"/>
        </w:rPr>
        <w:t>&gt;</w:t>
      </w:r>
    </w:p>
    <w:p w14:paraId="7C955014" w14:textId="493592AF" w:rsidR="007F47AC" w:rsidRPr="00E23F28" w:rsidRDefault="007F47AC" w:rsidP="007F47A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Theme="minorHAnsi" w:hAnsiTheme="minorHAnsi" w:cs="Helvetica"/>
          <w:sz w:val="24"/>
          <w:szCs w:val="24"/>
          <w:lang w:eastAsia="de-DE"/>
        </w:rPr>
      </w:pPr>
      <w:r w:rsidRPr="00E23F28">
        <w:rPr>
          <w:rFonts w:asciiTheme="minorHAnsi" w:hAnsiTheme="minorHAnsi" w:cs="Helvetica"/>
          <w:b/>
          <w:bCs/>
          <w:sz w:val="24"/>
          <w:szCs w:val="24"/>
          <w:lang w:eastAsia="de-DE"/>
        </w:rPr>
        <w:t xml:space="preserve"> </w:t>
      </w:r>
    </w:p>
    <w:p w14:paraId="657DC868" w14:textId="072E11B8" w:rsidR="007F47AC" w:rsidRPr="00E23F28" w:rsidRDefault="007F47AC" w:rsidP="00E23F28">
      <w:pPr>
        <w:pStyle w:val="Listenabsatz"/>
        <w:widowControl w:val="0"/>
        <w:numPr>
          <w:ilvl w:val="0"/>
          <w:numId w:val="34"/>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Theme="minorHAnsi" w:hAnsiTheme="minorHAnsi" w:cs="Helvetica"/>
          <w:sz w:val="24"/>
          <w:szCs w:val="24"/>
          <w:lang w:eastAsia="de-DE"/>
        </w:rPr>
      </w:pPr>
      <w:r w:rsidRPr="00E23F28">
        <w:rPr>
          <w:rFonts w:asciiTheme="minorHAnsi" w:hAnsiTheme="minorHAnsi" w:cs="Helvetica"/>
          <w:b/>
          <w:bCs/>
          <w:sz w:val="24"/>
          <w:szCs w:val="24"/>
          <w:lang w:eastAsia="de-DE"/>
        </w:rPr>
        <w:t>Historie</w:t>
      </w:r>
    </w:p>
    <w:p w14:paraId="4E762615" w14:textId="3FF42A5A" w:rsidR="007F47AC" w:rsidRPr="00E23F28" w:rsidRDefault="007F47AC" w:rsidP="007F47A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Theme="minorHAnsi" w:hAnsiTheme="minorHAnsi" w:cs="Helvetica"/>
          <w:szCs w:val="24"/>
          <w:lang w:eastAsia="de-DE"/>
        </w:rPr>
      </w:pPr>
      <w:r w:rsidRPr="00E23F28">
        <w:rPr>
          <w:rFonts w:asciiTheme="minorHAnsi" w:hAnsiTheme="minorHAnsi" w:cs="Helvetica"/>
          <w:szCs w:val="24"/>
          <w:lang w:eastAsia="de-DE"/>
        </w:rPr>
        <w:t xml:space="preserve">Version - Datum - Ersteller - Kurzbeschreibung </w:t>
      </w:r>
    </w:p>
    <w:p w14:paraId="2B645A7F" w14:textId="3E3374C6" w:rsidR="007F47AC" w:rsidRPr="00E23F28" w:rsidRDefault="007F47AC" w:rsidP="007F47A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Theme="minorHAnsi" w:hAnsiTheme="minorHAnsi" w:cs="Helvetica"/>
          <w:szCs w:val="24"/>
          <w:lang w:eastAsia="de-DE"/>
        </w:rPr>
      </w:pPr>
      <w:r w:rsidRPr="00E23F28">
        <w:rPr>
          <w:rFonts w:asciiTheme="minorHAnsi" w:hAnsiTheme="minorHAnsi" w:cs="Helvetica"/>
          <w:szCs w:val="24"/>
          <w:lang w:eastAsia="de-DE"/>
        </w:rPr>
        <w:t>&lt;</w:t>
      </w:r>
      <w:r w:rsidRPr="00E23F28">
        <w:rPr>
          <w:rFonts w:asciiTheme="minorHAnsi" w:hAnsiTheme="minorHAnsi" w:cs="Helvetica"/>
          <w:i/>
          <w:szCs w:val="24"/>
          <w:lang w:eastAsia="de-DE"/>
        </w:rPr>
        <w:t>Bei einem Update einer Sicherheitsmeldung erstellen Sie bitte keine neue Meldung, sondern erstellen Sie ein Update einer bestehenden Meldung – auch wenn eine neue Lage mit höherem Risiko eingetreten ist</w:t>
      </w:r>
      <w:r w:rsidRPr="00E23F28">
        <w:rPr>
          <w:rFonts w:asciiTheme="minorHAnsi" w:hAnsiTheme="minorHAnsi" w:cs="Helvetica"/>
          <w:szCs w:val="24"/>
          <w:lang w:eastAsia="de-DE"/>
        </w:rPr>
        <w:t>.&gt;</w:t>
      </w:r>
    </w:p>
    <w:p w14:paraId="259FCDC5" w14:textId="77777777" w:rsidR="007F47AC" w:rsidRPr="00E23F28" w:rsidRDefault="007F47AC" w:rsidP="007F47A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Theme="minorHAnsi" w:hAnsiTheme="minorHAnsi" w:cs="Helvetica"/>
          <w:sz w:val="24"/>
          <w:szCs w:val="24"/>
          <w:lang w:eastAsia="de-DE"/>
        </w:rPr>
      </w:pPr>
    </w:p>
    <w:p w14:paraId="7EA5C5BF" w14:textId="77777777" w:rsidR="007F47AC" w:rsidRPr="00E23F28" w:rsidRDefault="007F47AC" w:rsidP="00E23F28">
      <w:pPr>
        <w:pStyle w:val="Listenabsatz"/>
        <w:widowControl w:val="0"/>
        <w:numPr>
          <w:ilvl w:val="0"/>
          <w:numId w:val="34"/>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Theme="minorHAnsi" w:hAnsiTheme="minorHAnsi" w:cs="Helvetica"/>
          <w:b/>
          <w:bCs/>
          <w:sz w:val="24"/>
          <w:szCs w:val="24"/>
          <w:lang w:eastAsia="de-DE"/>
        </w:rPr>
      </w:pPr>
      <w:r w:rsidRPr="00E23F28">
        <w:rPr>
          <w:rFonts w:asciiTheme="minorHAnsi" w:hAnsiTheme="minorHAnsi" w:cs="Helvetica"/>
          <w:b/>
          <w:bCs/>
          <w:sz w:val="24"/>
          <w:szCs w:val="24"/>
          <w:lang w:eastAsia="de-DE"/>
        </w:rPr>
        <w:t>Betroffene IT-Systeme bzw. IT-Dienste</w:t>
      </w:r>
    </w:p>
    <w:p w14:paraId="71EB3FD4" w14:textId="389AD6BB" w:rsidR="007F47AC" w:rsidRPr="00E23F28" w:rsidRDefault="007F47AC" w:rsidP="007F47A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Theme="minorHAnsi" w:hAnsiTheme="minorHAnsi" w:cs="Helvetica"/>
          <w:lang w:eastAsia="de-DE"/>
        </w:rPr>
      </w:pPr>
      <w:r w:rsidRPr="00E23F28">
        <w:rPr>
          <w:rFonts w:asciiTheme="minorHAnsi" w:hAnsiTheme="minorHAnsi" w:cs="Helvetica"/>
          <w:lang w:eastAsia="de-DE"/>
        </w:rPr>
        <w:t>&lt;</w:t>
      </w:r>
      <w:r w:rsidRPr="00E23F28">
        <w:rPr>
          <w:rFonts w:asciiTheme="minorHAnsi" w:hAnsiTheme="minorHAnsi" w:cs="Helvetica"/>
          <w:i/>
          <w:lang w:eastAsia="de-DE"/>
        </w:rPr>
        <w:t>Hier sind die _betroffenen_ Systeme bzw. Dienste zu nennen, also, diejenigen, auf die sich das Risiko auswirkt - das sind in der Regel nicht die, bei denen das Problem auftritt. Beispiel: Das Problem tritt auf bei Apache Webserver, betroffen im Sinne des Ri</w:t>
      </w:r>
      <w:r w:rsidR="00BA7F8E">
        <w:rPr>
          <w:rFonts w:asciiTheme="minorHAnsi" w:hAnsiTheme="minorHAnsi" w:cs="Helvetica"/>
          <w:i/>
          <w:lang w:eastAsia="de-DE"/>
        </w:rPr>
        <w:t>sikos sind etwa alle Webdienste</w:t>
      </w:r>
      <w:r w:rsidRPr="00E23F28">
        <w:rPr>
          <w:rFonts w:asciiTheme="minorHAnsi" w:hAnsiTheme="minorHAnsi" w:cs="Helvetica"/>
          <w:lang w:eastAsia="de-DE"/>
        </w:rPr>
        <w:t xml:space="preserve">.&gt; </w:t>
      </w:r>
    </w:p>
    <w:p w14:paraId="68FC9303" w14:textId="77777777" w:rsidR="007F47AC" w:rsidRPr="00E23F28" w:rsidRDefault="007F47AC" w:rsidP="007F47A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Theme="minorHAnsi" w:hAnsiTheme="minorHAnsi" w:cs="Helvetica"/>
          <w:sz w:val="24"/>
          <w:szCs w:val="24"/>
          <w:lang w:eastAsia="de-DE"/>
        </w:rPr>
      </w:pPr>
    </w:p>
    <w:p w14:paraId="7E56E9C8" w14:textId="2F20C1EE" w:rsidR="007F47AC" w:rsidRPr="00E23F28" w:rsidRDefault="007F47AC" w:rsidP="00E23F28">
      <w:pPr>
        <w:pStyle w:val="Listenabsatz"/>
        <w:widowControl w:val="0"/>
        <w:numPr>
          <w:ilvl w:val="0"/>
          <w:numId w:val="34"/>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Theme="minorHAnsi" w:hAnsiTheme="minorHAnsi" w:cs="Helvetica"/>
          <w:b/>
          <w:bCs/>
          <w:sz w:val="24"/>
          <w:szCs w:val="24"/>
          <w:lang w:eastAsia="de-DE"/>
        </w:rPr>
      </w:pPr>
      <w:r w:rsidRPr="00E23F28">
        <w:rPr>
          <w:rFonts w:asciiTheme="minorHAnsi" w:hAnsiTheme="minorHAnsi" w:cs="Helvetica"/>
          <w:b/>
          <w:bCs/>
          <w:sz w:val="24"/>
          <w:szCs w:val="24"/>
          <w:lang w:eastAsia="de-DE"/>
        </w:rPr>
        <w:t>Typ</w:t>
      </w:r>
    </w:p>
    <w:p w14:paraId="67539B4F" w14:textId="77777777" w:rsidR="007F47AC" w:rsidRPr="00E23F28" w:rsidRDefault="007F47AC" w:rsidP="007F47A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Theme="minorHAnsi" w:hAnsiTheme="minorHAnsi" w:cs="Helvetica"/>
          <w:b/>
          <w:bCs/>
          <w:szCs w:val="24"/>
          <w:lang w:eastAsia="de-DE"/>
        </w:rPr>
      </w:pPr>
      <w:r w:rsidRPr="00E23F28">
        <w:rPr>
          <w:rFonts w:asciiTheme="minorHAnsi" w:hAnsiTheme="minorHAnsi" w:cs="Helvetica"/>
          <w:szCs w:val="24"/>
          <w:lang w:eastAsia="de-DE"/>
        </w:rPr>
        <w:t>Sicherheitsvorfall oder Sicherheitswarnung.</w:t>
      </w:r>
    </w:p>
    <w:p w14:paraId="0D7A1712" w14:textId="77777777" w:rsidR="007F47AC" w:rsidRPr="00E23F28" w:rsidRDefault="007F47AC" w:rsidP="007F47A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Theme="minorHAnsi" w:hAnsiTheme="minorHAnsi" w:cs="Helvetica"/>
          <w:b/>
          <w:bCs/>
          <w:sz w:val="24"/>
          <w:szCs w:val="24"/>
          <w:lang w:eastAsia="de-DE"/>
        </w:rPr>
      </w:pPr>
    </w:p>
    <w:p w14:paraId="189AF3E5" w14:textId="0C05BD57" w:rsidR="007F47AC" w:rsidRPr="00E23F28" w:rsidRDefault="007F47AC" w:rsidP="00E23F28">
      <w:pPr>
        <w:pStyle w:val="Listenabsatz"/>
        <w:widowControl w:val="0"/>
        <w:numPr>
          <w:ilvl w:val="0"/>
          <w:numId w:val="34"/>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Theme="minorHAnsi" w:hAnsiTheme="minorHAnsi" w:cs="Helvetica"/>
          <w:b/>
          <w:bCs/>
          <w:sz w:val="24"/>
          <w:szCs w:val="24"/>
          <w:lang w:eastAsia="de-DE"/>
        </w:rPr>
      </w:pPr>
      <w:r w:rsidRPr="00E23F28">
        <w:rPr>
          <w:rFonts w:asciiTheme="minorHAnsi" w:hAnsiTheme="minorHAnsi" w:cs="Helvetica"/>
          <w:b/>
          <w:bCs/>
          <w:sz w:val="24"/>
          <w:szCs w:val="24"/>
          <w:lang w:eastAsia="de-DE"/>
        </w:rPr>
        <w:t>Kritikalität</w:t>
      </w:r>
    </w:p>
    <w:p w14:paraId="0B8B68F8" w14:textId="77777777" w:rsidR="007F47AC" w:rsidRPr="00E23F28" w:rsidRDefault="007F47AC" w:rsidP="007F47A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Theme="minorHAnsi" w:hAnsiTheme="minorHAnsi" w:cs="Helvetica"/>
          <w:szCs w:val="24"/>
          <w:lang w:eastAsia="de-DE"/>
        </w:rPr>
      </w:pPr>
      <w:r w:rsidRPr="00E23F28">
        <w:rPr>
          <w:rFonts w:asciiTheme="minorHAnsi" w:hAnsiTheme="minorHAnsi" w:cs="Helvetica"/>
          <w:szCs w:val="24"/>
          <w:lang w:eastAsia="de-DE"/>
        </w:rPr>
        <w:t>NORMAL oder HOCH.</w:t>
      </w:r>
    </w:p>
    <w:p w14:paraId="7E469E39" w14:textId="77777777" w:rsidR="007F47AC" w:rsidRPr="00E23F28" w:rsidRDefault="007F47AC" w:rsidP="007F47A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Theme="minorHAnsi" w:hAnsiTheme="minorHAnsi" w:cs="Helvetica"/>
          <w:sz w:val="24"/>
          <w:szCs w:val="24"/>
          <w:lang w:eastAsia="de-DE"/>
        </w:rPr>
      </w:pPr>
    </w:p>
    <w:p w14:paraId="4E82CD39" w14:textId="5C55F1A9" w:rsidR="007F47AC" w:rsidRPr="00E23F28" w:rsidRDefault="007F47AC" w:rsidP="00E23F28">
      <w:pPr>
        <w:pStyle w:val="Listenabsatz"/>
        <w:widowControl w:val="0"/>
        <w:numPr>
          <w:ilvl w:val="0"/>
          <w:numId w:val="34"/>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Theme="minorHAnsi" w:hAnsiTheme="minorHAnsi" w:cs="Helvetica"/>
          <w:b/>
          <w:bCs/>
          <w:sz w:val="24"/>
          <w:szCs w:val="24"/>
          <w:lang w:eastAsia="de-DE"/>
        </w:rPr>
      </w:pPr>
      <w:r>
        <w:rPr>
          <w:rFonts w:asciiTheme="minorHAnsi" w:hAnsiTheme="minorHAnsi" w:cs="Helvetica"/>
          <w:b/>
          <w:bCs/>
          <w:sz w:val="24"/>
          <w:szCs w:val="24"/>
          <w:lang w:eastAsia="de-DE"/>
        </w:rPr>
        <w:t>Auswirkungen und Konsequenzen</w:t>
      </w:r>
    </w:p>
    <w:p w14:paraId="0B07D3A9" w14:textId="6824C792" w:rsidR="007F47AC" w:rsidRPr="00E23F28" w:rsidRDefault="007F47AC" w:rsidP="007F47A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Theme="minorHAnsi" w:hAnsiTheme="minorHAnsi" w:cs="Helvetica"/>
          <w:szCs w:val="24"/>
          <w:lang w:eastAsia="de-DE"/>
        </w:rPr>
      </w:pPr>
      <w:r w:rsidRPr="00E23F28">
        <w:rPr>
          <w:rFonts w:asciiTheme="minorHAnsi" w:hAnsiTheme="minorHAnsi" w:cs="Helvetica"/>
          <w:szCs w:val="24"/>
          <w:lang w:eastAsia="de-DE"/>
        </w:rPr>
        <w:t>&lt;</w:t>
      </w:r>
      <w:r w:rsidRPr="00E23F28">
        <w:rPr>
          <w:rFonts w:asciiTheme="minorHAnsi" w:hAnsiTheme="minorHAnsi" w:cs="Helvetica"/>
          <w:i/>
          <w:szCs w:val="24"/>
          <w:lang w:eastAsia="de-DE"/>
        </w:rPr>
        <w:t>Hier sind die Auswirkungen zu beschreiben, sowie Informationen zusammen zu tragen, welche Konsequenzen der Angriff / die Schwachstelle hat bzw. haben kann</w:t>
      </w:r>
      <w:r w:rsidRPr="00E23F28">
        <w:rPr>
          <w:rFonts w:asciiTheme="minorHAnsi" w:hAnsiTheme="minorHAnsi" w:cs="Helvetica"/>
          <w:szCs w:val="24"/>
          <w:lang w:eastAsia="de-DE"/>
        </w:rPr>
        <w:t xml:space="preserve">.&gt; </w:t>
      </w:r>
    </w:p>
    <w:p w14:paraId="464FA69A" w14:textId="77777777" w:rsidR="007F47AC" w:rsidRPr="00E23F28" w:rsidRDefault="007F47AC" w:rsidP="00E23F28">
      <w:pPr>
        <w:pStyle w:val="Listenabsatz"/>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ind w:left="360"/>
        <w:rPr>
          <w:rFonts w:asciiTheme="minorHAnsi" w:hAnsiTheme="minorHAnsi" w:cs="Helvetica"/>
          <w:b/>
          <w:bCs/>
          <w:sz w:val="24"/>
          <w:szCs w:val="24"/>
          <w:lang w:eastAsia="de-DE"/>
        </w:rPr>
      </w:pPr>
    </w:p>
    <w:p w14:paraId="29749492" w14:textId="4C16DF2D" w:rsidR="007F47AC" w:rsidRPr="00E23F28" w:rsidRDefault="007F47AC" w:rsidP="00E23F28">
      <w:pPr>
        <w:pStyle w:val="Listenabsatz"/>
        <w:widowControl w:val="0"/>
        <w:numPr>
          <w:ilvl w:val="0"/>
          <w:numId w:val="34"/>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Theme="minorHAnsi" w:hAnsiTheme="minorHAnsi" w:cs="Helvetica"/>
          <w:b/>
          <w:bCs/>
          <w:sz w:val="24"/>
          <w:szCs w:val="24"/>
          <w:lang w:eastAsia="de-DE"/>
        </w:rPr>
      </w:pPr>
      <w:r w:rsidRPr="00E23F28">
        <w:rPr>
          <w:rFonts w:asciiTheme="minorHAnsi" w:hAnsiTheme="minorHAnsi" w:cs="Helvetica"/>
          <w:b/>
          <w:bCs/>
          <w:sz w:val="24"/>
          <w:szCs w:val="24"/>
          <w:lang w:eastAsia="de-DE"/>
        </w:rPr>
        <w:t>Ergriffene Maßnahmen bzw. Empfehlungen</w:t>
      </w:r>
    </w:p>
    <w:p w14:paraId="78747549" w14:textId="77777777" w:rsidR="007F47AC" w:rsidRPr="00E23F28" w:rsidRDefault="007F47AC" w:rsidP="007F47A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Theme="minorHAnsi" w:hAnsiTheme="minorHAnsi" w:cs="Helvetica"/>
          <w:szCs w:val="24"/>
          <w:lang w:eastAsia="de-DE"/>
        </w:rPr>
      </w:pPr>
      <w:r w:rsidRPr="00E23F28">
        <w:rPr>
          <w:rFonts w:asciiTheme="minorHAnsi" w:hAnsiTheme="minorHAnsi" w:cs="Helvetica"/>
          <w:szCs w:val="24"/>
          <w:lang w:eastAsia="de-DE"/>
        </w:rPr>
        <w:t>&lt;</w:t>
      </w:r>
      <w:r w:rsidRPr="00E23F28">
        <w:rPr>
          <w:rFonts w:asciiTheme="minorHAnsi" w:hAnsiTheme="minorHAnsi" w:cs="Helvetica"/>
          <w:i/>
          <w:szCs w:val="24"/>
          <w:lang w:eastAsia="de-DE"/>
        </w:rPr>
        <w:t>Hier sind die ergriffenen Maßnahmen zu beschreiben, und ggf. Empfehlungen an den Auftraggeber, was zu berücksichtigen ist um mit dem erhöhten Risiko angemessen umzugehen, bis das Problem behoben ist.</w:t>
      </w:r>
      <w:r w:rsidRPr="00E23F28">
        <w:rPr>
          <w:rFonts w:asciiTheme="minorHAnsi" w:hAnsiTheme="minorHAnsi" w:cs="Helvetica"/>
          <w:szCs w:val="24"/>
          <w:lang w:eastAsia="de-DE"/>
        </w:rPr>
        <w:t xml:space="preserve">&gt; </w:t>
      </w:r>
    </w:p>
    <w:p w14:paraId="26C45FF7" w14:textId="77777777" w:rsidR="007F47AC" w:rsidRPr="00E23F28" w:rsidRDefault="007F47AC" w:rsidP="007F47A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Theme="minorHAnsi" w:hAnsiTheme="minorHAnsi" w:cs="Helvetica"/>
          <w:sz w:val="24"/>
          <w:szCs w:val="24"/>
          <w:lang w:eastAsia="de-DE"/>
        </w:rPr>
      </w:pPr>
    </w:p>
    <w:p w14:paraId="2CE423C9" w14:textId="53AA0B93" w:rsidR="007F47AC" w:rsidRPr="00E23F28" w:rsidRDefault="007F47AC" w:rsidP="00E23F28">
      <w:pPr>
        <w:pStyle w:val="Listenabsatz"/>
        <w:widowControl w:val="0"/>
        <w:numPr>
          <w:ilvl w:val="0"/>
          <w:numId w:val="34"/>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Theme="minorHAnsi" w:hAnsiTheme="minorHAnsi" w:cs="Helvetica"/>
          <w:b/>
          <w:bCs/>
          <w:sz w:val="24"/>
          <w:szCs w:val="24"/>
          <w:lang w:eastAsia="de-DE"/>
        </w:rPr>
      </w:pPr>
      <w:r w:rsidRPr="00E23F28">
        <w:rPr>
          <w:rFonts w:asciiTheme="minorHAnsi" w:hAnsiTheme="minorHAnsi" w:cs="Helvetica"/>
          <w:b/>
          <w:bCs/>
          <w:sz w:val="24"/>
          <w:szCs w:val="24"/>
          <w:lang w:eastAsia="de-DE"/>
        </w:rPr>
        <w:t>Voraussichtlicher Zeitpunkt der Problembehebung</w:t>
      </w:r>
    </w:p>
    <w:p w14:paraId="473D8FF0" w14:textId="7BEB67D3" w:rsidR="007F47AC" w:rsidRPr="00E23F28" w:rsidRDefault="007F47AC" w:rsidP="007F47A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Theme="minorHAnsi" w:hAnsiTheme="minorHAnsi" w:cs="Helvetica"/>
          <w:szCs w:val="24"/>
          <w:lang w:eastAsia="de-DE"/>
        </w:rPr>
      </w:pPr>
      <w:r w:rsidRPr="00E23F28">
        <w:rPr>
          <w:rFonts w:asciiTheme="minorHAnsi" w:hAnsiTheme="minorHAnsi" w:cs="Helvetica"/>
          <w:szCs w:val="24"/>
          <w:lang w:eastAsia="de-DE"/>
        </w:rPr>
        <w:t>&lt;</w:t>
      </w:r>
      <w:r w:rsidRPr="00E23F28">
        <w:rPr>
          <w:rFonts w:asciiTheme="minorHAnsi" w:hAnsiTheme="minorHAnsi" w:cs="Helvetica"/>
          <w:i/>
          <w:szCs w:val="24"/>
          <w:lang w:eastAsia="de-DE"/>
        </w:rPr>
        <w:t>Hier ist eine Schätzung abzugeben, ab welchem Datum wieder ein Normalbetrieb möglich sein sollte</w:t>
      </w:r>
      <w:r w:rsidRPr="00E23F28">
        <w:rPr>
          <w:rFonts w:asciiTheme="minorHAnsi" w:hAnsiTheme="minorHAnsi" w:cs="Helvetica"/>
          <w:szCs w:val="24"/>
          <w:lang w:eastAsia="de-DE"/>
        </w:rPr>
        <w:t>.</w:t>
      </w:r>
      <w:r>
        <w:rPr>
          <w:rFonts w:asciiTheme="minorHAnsi" w:hAnsiTheme="minorHAnsi" w:cs="Helvetica"/>
          <w:szCs w:val="24"/>
          <w:lang w:eastAsia="de-DE"/>
        </w:rPr>
        <w:t>&gt;</w:t>
      </w:r>
    </w:p>
    <w:p w14:paraId="1FC7D3B0" w14:textId="77777777" w:rsidR="007F47AC" w:rsidRPr="00E23F28" w:rsidRDefault="007F47AC" w:rsidP="007F47A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Theme="minorHAnsi" w:hAnsiTheme="minorHAnsi" w:cs="Helvetica"/>
          <w:sz w:val="24"/>
          <w:szCs w:val="24"/>
          <w:lang w:eastAsia="de-DE"/>
        </w:rPr>
      </w:pPr>
    </w:p>
    <w:p w14:paraId="311C1485" w14:textId="0932C63A" w:rsidR="007F47AC" w:rsidRPr="00E23F28" w:rsidRDefault="007F47AC" w:rsidP="00E23F28">
      <w:pPr>
        <w:pStyle w:val="Listenabsatz"/>
        <w:widowControl w:val="0"/>
        <w:numPr>
          <w:ilvl w:val="0"/>
          <w:numId w:val="34"/>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Theme="minorHAnsi" w:hAnsiTheme="minorHAnsi" w:cs="Helvetica"/>
          <w:b/>
          <w:bCs/>
          <w:sz w:val="24"/>
          <w:szCs w:val="24"/>
          <w:lang w:eastAsia="de-DE"/>
        </w:rPr>
      </w:pPr>
      <w:r w:rsidRPr="00E23F28">
        <w:rPr>
          <w:rFonts w:asciiTheme="minorHAnsi" w:hAnsiTheme="minorHAnsi" w:cs="Helvetica"/>
          <w:b/>
          <w:bCs/>
          <w:sz w:val="24"/>
          <w:szCs w:val="24"/>
          <w:lang w:eastAsia="de-DE"/>
        </w:rPr>
        <w:t>Weiterführende Informationen</w:t>
      </w:r>
    </w:p>
    <w:p w14:paraId="4E48603B" w14:textId="10FAF1CE" w:rsidR="007F47AC" w:rsidRPr="00E23F28" w:rsidRDefault="007F47AC" w:rsidP="007F47AC">
      <w:pPr>
        <w:rPr>
          <w:rFonts w:asciiTheme="minorHAnsi" w:hAnsiTheme="minorHAnsi"/>
          <w:sz w:val="21"/>
          <w:lang w:eastAsia="de-DE"/>
        </w:rPr>
      </w:pPr>
      <w:r w:rsidRPr="00E23F28">
        <w:rPr>
          <w:rFonts w:asciiTheme="minorHAnsi" w:hAnsiTheme="minorHAnsi" w:cs="Helvetica"/>
          <w:szCs w:val="24"/>
          <w:lang w:eastAsia="de-DE"/>
        </w:rPr>
        <w:t>&lt;</w:t>
      </w:r>
      <w:r w:rsidRPr="00E23F28">
        <w:rPr>
          <w:rFonts w:asciiTheme="minorHAnsi" w:hAnsiTheme="minorHAnsi" w:cs="Helvetica"/>
          <w:i/>
          <w:szCs w:val="24"/>
          <w:lang w:eastAsia="de-DE"/>
        </w:rPr>
        <w:t>Verweis auf Schwachstellenmeldungen etc. mit Link falls verfügbar</w:t>
      </w:r>
      <w:r>
        <w:rPr>
          <w:rFonts w:asciiTheme="minorHAnsi" w:hAnsiTheme="minorHAnsi" w:cs="Helvetica"/>
          <w:szCs w:val="24"/>
          <w:lang w:eastAsia="de-DE"/>
        </w:rPr>
        <w:t>.</w:t>
      </w:r>
      <w:r w:rsidRPr="00E23F28">
        <w:rPr>
          <w:rFonts w:asciiTheme="minorHAnsi" w:hAnsiTheme="minorHAnsi" w:cs="Helvetica"/>
          <w:szCs w:val="24"/>
          <w:lang w:eastAsia="de-DE"/>
        </w:rPr>
        <w:t>&gt;</w:t>
      </w:r>
    </w:p>
    <w:p w14:paraId="09D48F48" w14:textId="2D68DE94" w:rsidR="00C9035B" w:rsidRDefault="00C9035B">
      <w:pPr>
        <w:spacing w:after="0" w:line="240" w:lineRule="auto"/>
        <w:rPr>
          <w:lang w:eastAsia="de-DE"/>
        </w:rPr>
      </w:pPr>
      <w:r>
        <w:rPr>
          <w:lang w:eastAsia="de-DE"/>
        </w:rPr>
        <w:br w:type="page"/>
      </w:r>
    </w:p>
    <w:p w14:paraId="7EDC76FC" w14:textId="6C16C7D7" w:rsidR="00C9035B" w:rsidRDefault="00C9035B" w:rsidP="00C9035B">
      <w:pPr>
        <w:pStyle w:val="berschrift1"/>
        <w:numPr>
          <w:ilvl w:val="0"/>
          <w:numId w:val="0"/>
        </w:numPr>
        <w:rPr>
          <w:lang w:eastAsia="de-DE"/>
        </w:rPr>
      </w:pPr>
      <w:r>
        <w:rPr>
          <w:lang w:eastAsia="de-DE"/>
        </w:rPr>
        <w:lastRenderedPageBreak/>
        <w:t>Anhang B</w:t>
      </w:r>
    </w:p>
    <w:p w14:paraId="2B2F9AE0" w14:textId="67CE2644" w:rsidR="00BD4DC2" w:rsidRPr="00E23F28" w:rsidRDefault="00C9035B" w:rsidP="0087209D">
      <w:pPr>
        <w:rPr>
          <w:b/>
          <w:lang w:eastAsia="de-DE"/>
        </w:rPr>
      </w:pPr>
      <w:r w:rsidRPr="00E23F28">
        <w:rPr>
          <w:b/>
          <w:lang w:eastAsia="de-DE"/>
        </w:rPr>
        <w:t>Aufbewahrungsfristen für Informationen und Dokumente</w:t>
      </w:r>
      <w:r w:rsidR="00E835D1">
        <w:rPr>
          <w:rStyle w:val="Funotenzeichen"/>
          <w:b/>
          <w:lang w:eastAsia="de-DE"/>
        </w:rPr>
        <w:footnoteReference w:id="5"/>
      </w:r>
      <w:r w:rsidRPr="00E23F28">
        <w:rPr>
          <w:b/>
          <w:lang w:eastAsia="de-DE"/>
        </w:rPr>
        <w:t xml:space="preserve">: </w:t>
      </w:r>
    </w:p>
    <w:p w14:paraId="027A2AE5" w14:textId="4C94A51F" w:rsidR="00C9035B" w:rsidRDefault="00E835D1" w:rsidP="0087209D">
      <w:pPr>
        <w:rPr>
          <w:lang w:eastAsia="de-DE"/>
        </w:rPr>
      </w:pPr>
      <w:r w:rsidRPr="00E23F28">
        <w:rPr>
          <w:b/>
          <w:lang w:eastAsia="de-DE"/>
        </w:rPr>
        <w:t>6 Jahre:</w:t>
      </w:r>
      <w:r>
        <w:rPr>
          <w:lang w:eastAsia="de-DE"/>
        </w:rPr>
        <w:t xml:space="preserve"> </w:t>
      </w:r>
      <w:r w:rsidR="00C9035B" w:rsidRPr="00C9035B">
        <w:rPr>
          <w:lang w:eastAsia="de-DE"/>
        </w:rPr>
        <w:t xml:space="preserve">Nach § 257 Abs. 1 Nr. 2 und 3 HGB sind empfangene </w:t>
      </w:r>
      <w:hyperlink r:id="rId8" w:history="1">
        <w:r w:rsidR="00C9035B" w:rsidRPr="00C9035B">
          <w:rPr>
            <w:rStyle w:val="Link"/>
            <w:lang w:eastAsia="de-DE"/>
          </w:rPr>
          <w:t>Handelsbriefe</w:t>
        </w:r>
      </w:hyperlink>
      <w:r w:rsidR="00C9035B" w:rsidRPr="00C9035B">
        <w:rPr>
          <w:lang w:eastAsia="de-DE"/>
        </w:rPr>
        <w:t>, Wiedergaben (</w:t>
      </w:r>
      <w:hyperlink r:id="rId9" w:history="1">
        <w:r w:rsidR="00C9035B" w:rsidRPr="00C9035B">
          <w:rPr>
            <w:rStyle w:val="Link"/>
            <w:lang w:eastAsia="de-DE"/>
          </w:rPr>
          <w:t>Kopien</w:t>
        </w:r>
      </w:hyperlink>
      <w:r w:rsidR="00C9035B" w:rsidRPr="00C9035B">
        <w:rPr>
          <w:lang w:eastAsia="de-DE"/>
        </w:rPr>
        <w:t>, Durchschriften) abgesandter Handelsbriefe, Geschäftspapiere und sonstige Unterlagen mit kaufmännischer und steuerlicher Bedeutung sechs Jahre aufzubewahren.</w:t>
      </w:r>
      <w:r w:rsidR="00C9035B">
        <w:rPr>
          <w:lang w:eastAsia="de-DE"/>
        </w:rPr>
        <w:t xml:space="preserve"> Dies gilt auch für E-Mail-Kommunikation und Transaktionen in Web-Portalen.</w:t>
      </w:r>
    </w:p>
    <w:p w14:paraId="2C4FB14F" w14:textId="7D8F81A1" w:rsidR="00C9035B" w:rsidRDefault="00E835D1" w:rsidP="0087209D">
      <w:pPr>
        <w:rPr>
          <w:lang w:eastAsia="de-DE"/>
        </w:rPr>
      </w:pPr>
      <w:r w:rsidRPr="00E23F28">
        <w:rPr>
          <w:b/>
          <w:lang w:eastAsia="de-DE"/>
        </w:rPr>
        <w:t>10 Jahre:</w:t>
      </w:r>
      <w:r>
        <w:rPr>
          <w:lang w:eastAsia="de-DE"/>
        </w:rPr>
        <w:t xml:space="preserve"> </w:t>
      </w:r>
      <w:r w:rsidR="00C9035B" w:rsidRPr="00C9035B">
        <w:rPr>
          <w:lang w:eastAsia="de-DE"/>
        </w:rPr>
        <w:t xml:space="preserve">Nach § 257 Abs. 1 Nr. 1 und 4 HGB sind </w:t>
      </w:r>
      <w:hyperlink r:id="rId10" w:history="1">
        <w:r w:rsidR="00C9035B" w:rsidRPr="00C9035B">
          <w:rPr>
            <w:rStyle w:val="Link"/>
            <w:lang w:eastAsia="de-DE"/>
          </w:rPr>
          <w:t>Handelsbücher</w:t>
        </w:r>
      </w:hyperlink>
      <w:r w:rsidR="00C9035B" w:rsidRPr="00C9035B">
        <w:rPr>
          <w:lang w:eastAsia="de-DE"/>
        </w:rPr>
        <w:t xml:space="preserve">, </w:t>
      </w:r>
      <w:hyperlink r:id="rId11" w:history="1">
        <w:r w:rsidR="00C9035B" w:rsidRPr="00C9035B">
          <w:rPr>
            <w:rStyle w:val="Link"/>
            <w:lang w:eastAsia="de-DE"/>
          </w:rPr>
          <w:t>Inventare</w:t>
        </w:r>
      </w:hyperlink>
      <w:r w:rsidR="00C9035B" w:rsidRPr="00C9035B">
        <w:rPr>
          <w:lang w:eastAsia="de-DE"/>
        </w:rPr>
        <w:t xml:space="preserve">, Personalakten, </w:t>
      </w:r>
      <w:hyperlink r:id="rId12" w:history="1">
        <w:r w:rsidR="00C9035B" w:rsidRPr="00C9035B">
          <w:rPr>
            <w:rStyle w:val="Link"/>
            <w:lang w:eastAsia="de-DE"/>
          </w:rPr>
          <w:t>Eröffnungsbilanzen</w:t>
        </w:r>
      </w:hyperlink>
      <w:r w:rsidR="00C9035B" w:rsidRPr="00C9035B">
        <w:rPr>
          <w:lang w:eastAsia="de-DE"/>
        </w:rPr>
        <w:t xml:space="preserve">, </w:t>
      </w:r>
      <w:hyperlink r:id="rId13" w:history="1">
        <w:r w:rsidR="00C9035B" w:rsidRPr="00C9035B">
          <w:rPr>
            <w:rStyle w:val="Link"/>
            <w:lang w:eastAsia="de-DE"/>
          </w:rPr>
          <w:t>Jahresabschlüsse</w:t>
        </w:r>
      </w:hyperlink>
      <w:r w:rsidR="00C9035B" w:rsidRPr="00C9035B">
        <w:rPr>
          <w:lang w:eastAsia="de-DE"/>
        </w:rPr>
        <w:t xml:space="preserve">, Einzelabschlüsse nach </w:t>
      </w:r>
      <w:hyperlink r:id="rId14" w:history="1">
        <w:r w:rsidR="00C9035B" w:rsidRPr="00C9035B">
          <w:rPr>
            <w:rStyle w:val="Link"/>
            <w:lang w:eastAsia="de-DE"/>
          </w:rPr>
          <w:t>§ 325</w:t>
        </w:r>
      </w:hyperlink>
      <w:r w:rsidR="00C9035B" w:rsidRPr="00C9035B">
        <w:rPr>
          <w:lang w:eastAsia="de-DE"/>
        </w:rPr>
        <w:t xml:space="preserve"> Abs. 2a HGB, </w:t>
      </w:r>
      <w:hyperlink r:id="rId15" w:history="1">
        <w:r w:rsidR="00C9035B" w:rsidRPr="00C9035B">
          <w:rPr>
            <w:rStyle w:val="Link"/>
            <w:lang w:eastAsia="de-DE"/>
          </w:rPr>
          <w:t>Lageberichte</w:t>
        </w:r>
      </w:hyperlink>
      <w:r w:rsidR="00C9035B" w:rsidRPr="00C9035B">
        <w:rPr>
          <w:lang w:eastAsia="de-DE"/>
        </w:rPr>
        <w:t xml:space="preserve">, sowie die zu ihrem Verständnis erforderlichen </w:t>
      </w:r>
      <w:hyperlink r:id="rId16" w:history="1">
        <w:r w:rsidR="00C9035B" w:rsidRPr="00C9035B">
          <w:rPr>
            <w:rStyle w:val="Link"/>
            <w:lang w:eastAsia="de-DE"/>
          </w:rPr>
          <w:t>Arbeitsanweisungen</w:t>
        </w:r>
      </w:hyperlink>
      <w:r w:rsidR="00C9035B" w:rsidRPr="00C9035B">
        <w:rPr>
          <w:lang w:eastAsia="de-DE"/>
        </w:rPr>
        <w:t xml:space="preserve"> und sonstigen Organisationsunterlagen zehn Jahre aufzubewahren. Das gilt auch für </w:t>
      </w:r>
      <w:hyperlink r:id="rId17" w:history="1">
        <w:r w:rsidR="00C9035B" w:rsidRPr="00C9035B">
          <w:rPr>
            <w:rStyle w:val="Link"/>
            <w:lang w:eastAsia="de-DE"/>
          </w:rPr>
          <w:t>Buchungsbelege</w:t>
        </w:r>
      </w:hyperlink>
      <w:r w:rsidR="00C9035B" w:rsidRPr="00C9035B">
        <w:rPr>
          <w:lang w:eastAsia="de-DE"/>
        </w:rPr>
        <w:t xml:space="preserve"> zu den nach </w:t>
      </w:r>
      <w:hyperlink r:id="rId18" w:history="1">
        <w:r w:rsidR="00C9035B" w:rsidRPr="00C9035B">
          <w:rPr>
            <w:rStyle w:val="Link"/>
            <w:lang w:eastAsia="de-DE"/>
          </w:rPr>
          <w:t>§ 238</w:t>
        </w:r>
      </w:hyperlink>
      <w:r w:rsidR="00C9035B" w:rsidRPr="00C9035B">
        <w:rPr>
          <w:lang w:eastAsia="de-DE"/>
        </w:rPr>
        <w:t xml:space="preserve"> Abs. 1 HGB zu führenden Büchern. Eingangs- und Ausgangsrechnungen sind ebenfalls zehn Jahre aufzubewahren (</w:t>
      </w:r>
      <w:hyperlink r:id="rId19" w:history="1">
        <w:r w:rsidR="00C9035B" w:rsidRPr="00C9035B">
          <w:rPr>
            <w:rStyle w:val="Link"/>
            <w:lang w:eastAsia="de-DE"/>
          </w:rPr>
          <w:t>§ 14b</w:t>
        </w:r>
      </w:hyperlink>
      <w:r w:rsidR="00C9035B" w:rsidRPr="00C9035B">
        <w:rPr>
          <w:lang w:eastAsia="de-DE"/>
        </w:rPr>
        <w:t xml:space="preserve"> </w:t>
      </w:r>
      <w:hyperlink r:id="rId20" w:history="1">
        <w:r w:rsidR="00C9035B" w:rsidRPr="00C9035B">
          <w:rPr>
            <w:rStyle w:val="Link"/>
            <w:lang w:eastAsia="de-DE"/>
          </w:rPr>
          <w:t>Umsatzsteuergesetz</w:t>
        </w:r>
      </w:hyperlink>
      <w:r w:rsidR="00C9035B" w:rsidRPr="00C9035B">
        <w:rPr>
          <w:lang w:eastAsia="de-DE"/>
        </w:rPr>
        <w:t>).</w:t>
      </w:r>
      <w:r w:rsidR="00C9035B">
        <w:rPr>
          <w:lang w:eastAsia="de-DE"/>
        </w:rPr>
        <w:t xml:space="preserve"> </w:t>
      </w:r>
      <w:r>
        <w:rPr>
          <w:lang w:eastAsia="de-DE"/>
        </w:rPr>
        <w:t xml:space="preserve">Die betrifft auch elektronische Rechnungen. </w:t>
      </w:r>
    </w:p>
    <w:p w14:paraId="0579EE80" w14:textId="056D08DC" w:rsidR="00C9035B" w:rsidRPr="00C9035B" w:rsidRDefault="00E835D1" w:rsidP="00C9035B">
      <w:pPr>
        <w:rPr>
          <w:lang w:eastAsia="de-DE"/>
        </w:rPr>
      </w:pPr>
      <w:r w:rsidRPr="00E23F28">
        <w:rPr>
          <w:b/>
          <w:lang w:eastAsia="de-DE"/>
        </w:rPr>
        <w:t>Dauerhaft:</w:t>
      </w:r>
      <w:r>
        <w:rPr>
          <w:lang w:eastAsia="de-DE"/>
        </w:rPr>
        <w:t xml:space="preserve"> </w:t>
      </w:r>
      <w:r w:rsidR="00C9035B" w:rsidRPr="00C9035B">
        <w:rPr>
          <w:lang w:eastAsia="de-DE"/>
        </w:rPr>
        <w:t xml:space="preserve">In der Wirtschaft gibt es zwar aus handels- und steuerrechtlicher Sicht keine längeren Aufbewahrungsfristen über 10 Jahre hinaus, doch ist es allgemein üblich, </w:t>
      </w:r>
      <w:hyperlink r:id="rId21" w:history="1">
        <w:r w:rsidR="00C9035B" w:rsidRPr="00C9035B">
          <w:rPr>
            <w:rStyle w:val="Link"/>
            <w:lang w:eastAsia="de-DE"/>
          </w:rPr>
          <w:t>Gesellschafterverträge</w:t>
        </w:r>
      </w:hyperlink>
      <w:r w:rsidR="00C9035B" w:rsidRPr="00C9035B">
        <w:rPr>
          <w:lang w:eastAsia="de-DE"/>
        </w:rPr>
        <w:t xml:space="preserve">, Grundstücksunterlagen, Baupläne, </w:t>
      </w:r>
      <w:hyperlink r:id="rId22" w:history="1">
        <w:r w:rsidR="00C9035B" w:rsidRPr="00C9035B">
          <w:rPr>
            <w:rStyle w:val="Link"/>
            <w:lang w:eastAsia="de-DE"/>
          </w:rPr>
          <w:t>Patente</w:t>
        </w:r>
      </w:hyperlink>
      <w:r w:rsidR="00C9035B" w:rsidRPr="00C9035B">
        <w:rPr>
          <w:lang w:eastAsia="de-DE"/>
        </w:rPr>
        <w:t xml:space="preserve">, Gerichtsurteile oder </w:t>
      </w:r>
      <w:hyperlink r:id="rId23" w:history="1">
        <w:r w:rsidR="00C9035B" w:rsidRPr="00C9035B">
          <w:rPr>
            <w:rStyle w:val="Link"/>
            <w:lang w:eastAsia="de-DE"/>
          </w:rPr>
          <w:t>Personalakten</w:t>
        </w:r>
      </w:hyperlink>
      <w:r w:rsidR="00C9035B" w:rsidRPr="00C9035B">
        <w:rPr>
          <w:lang w:eastAsia="de-DE"/>
        </w:rPr>
        <w:t xml:space="preserve"> ebenfalls dauerhaft aufzubewahren.</w:t>
      </w:r>
    </w:p>
    <w:p w14:paraId="64EA27DC" w14:textId="77777777" w:rsidR="00C9035B" w:rsidRDefault="00C9035B" w:rsidP="0087209D">
      <w:pPr>
        <w:rPr>
          <w:lang w:eastAsia="de-DE"/>
        </w:rPr>
      </w:pPr>
    </w:p>
    <w:sectPr w:rsidR="00C9035B">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84DDF6" w14:textId="77777777" w:rsidR="00A24E85" w:rsidRDefault="00A24E85" w:rsidP="00E85845">
      <w:pPr>
        <w:spacing w:after="0" w:line="240" w:lineRule="auto"/>
      </w:pPr>
      <w:r>
        <w:separator/>
      </w:r>
    </w:p>
  </w:endnote>
  <w:endnote w:type="continuationSeparator" w:id="0">
    <w:p w14:paraId="4DC69119" w14:textId="77777777" w:rsidR="00A24E85" w:rsidRDefault="00A24E85" w:rsidP="00E85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Arial Unicode MS">
    <w:charset w:val="80"/>
    <w:family w:val="swiss"/>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MS Mincho">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C093E" w14:textId="7ACA731E" w:rsidR="00811904" w:rsidRPr="00BA7F8E" w:rsidRDefault="00811904">
    <w:pPr>
      <w:pStyle w:val="Fuzeile"/>
      <w:rPr>
        <w:sz w:val="16"/>
        <w:szCs w:val="16"/>
      </w:rPr>
    </w:pPr>
    <w:r>
      <w:rPr>
        <w:sz w:val="16"/>
        <w:szCs w:val="16"/>
      </w:rPr>
      <w:t>Vertragsergänzungen</w:t>
    </w:r>
    <w:r w:rsidRPr="00A31FBC">
      <w:rPr>
        <w:sz w:val="16"/>
        <w:szCs w:val="16"/>
      </w:rPr>
      <w:t xml:space="preserve"> IT-Sicherheit</w:t>
    </w:r>
    <w:r w:rsidR="00BA7F8E">
      <w:rPr>
        <w:sz w:val="16"/>
        <w:szCs w:val="16"/>
      </w:rPr>
      <w:t xml:space="preserve"> </w:t>
    </w:r>
    <w:r w:rsidRPr="00A31FBC">
      <w:rPr>
        <w:sz w:val="16"/>
        <w:szCs w:val="16"/>
      </w:rPr>
      <w:t xml:space="preserve">– Version </w:t>
    </w:r>
    <w:r>
      <w:rPr>
        <w:sz w:val="16"/>
        <w:szCs w:val="16"/>
      </w:rPr>
      <w:t xml:space="preserve">1.0 </w:t>
    </w:r>
    <w:r>
      <w:rPr>
        <w:sz w:val="16"/>
        <w:szCs w:val="16"/>
      </w:rPr>
      <w:br/>
      <w:t>(Stand: 18.04.2016)</w:t>
    </w:r>
    <w:r w:rsidRPr="00A31FBC">
      <w:rPr>
        <w:sz w:val="16"/>
        <w:szCs w:val="16"/>
      </w:rPr>
      <w:tab/>
    </w:r>
    <w:r w:rsidRPr="00A31FBC">
      <w:rPr>
        <w:sz w:val="16"/>
        <w:szCs w:val="16"/>
      </w:rPr>
      <w:tab/>
    </w:r>
    <w:r w:rsidRPr="00A31FBC">
      <w:rPr>
        <w:sz w:val="16"/>
        <w:szCs w:val="16"/>
      </w:rPr>
      <w:fldChar w:fldCharType="begin"/>
    </w:r>
    <w:r w:rsidRPr="00A31FBC">
      <w:rPr>
        <w:sz w:val="16"/>
        <w:szCs w:val="16"/>
      </w:rPr>
      <w:instrText>PAGE   \* MERGEFORMAT</w:instrText>
    </w:r>
    <w:r w:rsidRPr="00A31FBC">
      <w:rPr>
        <w:sz w:val="16"/>
        <w:szCs w:val="16"/>
      </w:rPr>
      <w:fldChar w:fldCharType="separate"/>
    </w:r>
    <w:r w:rsidR="00BA7F8E">
      <w:rPr>
        <w:noProof/>
        <w:sz w:val="16"/>
        <w:szCs w:val="16"/>
      </w:rPr>
      <w:t>5</w:t>
    </w:r>
    <w:r w:rsidRPr="00A31FBC">
      <w:rPr>
        <w:sz w:val="16"/>
        <w:szCs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7678B4" w14:textId="77777777" w:rsidR="00A24E85" w:rsidRDefault="00A24E85" w:rsidP="00E85845">
      <w:pPr>
        <w:spacing w:after="0" w:line="240" w:lineRule="auto"/>
      </w:pPr>
      <w:r>
        <w:separator/>
      </w:r>
    </w:p>
  </w:footnote>
  <w:footnote w:type="continuationSeparator" w:id="0">
    <w:p w14:paraId="02625751" w14:textId="77777777" w:rsidR="00A24E85" w:rsidRDefault="00A24E85" w:rsidP="00E85845">
      <w:pPr>
        <w:spacing w:after="0" w:line="240" w:lineRule="auto"/>
      </w:pPr>
      <w:r>
        <w:continuationSeparator/>
      </w:r>
    </w:p>
  </w:footnote>
  <w:footnote w:id="1">
    <w:p w14:paraId="302F1AF5" w14:textId="0CCA1050" w:rsidR="00776112" w:rsidRDefault="00776112">
      <w:pPr>
        <w:pStyle w:val="Funotentext"/>
      </w:pPr>
      <w:r>
        <w:rPr>
          <w:rStyle w:val="Funotenzeichen"/>
        </w:rPr>
        <w:footnoteRef/>
      </w:r>
      <w:r>
        <w:t xml:space="preserve"> </w:t>
      </w:r>
      <w:r w:rsidRPr="00E23F28">
        <w:rPr>
          <w:sz w:val="20"/>
        </w:rPr>
        <w:t>Analog zu https://www.bsi.bund.de/DE/Themen/ITGrundschutz/ITGrundschutzKataloge/Inhalt/_content/m/m06/m06122.html</w:t>
      </w:r>
    </w:p>
  </w:footnote>
  <w:footnote w:id="2">
    <w:p w14:paraId="5ABB66F4" w14:textId="4F22A427" w:rsidR="003B0F41" w:rsidRPr="00E23F28" w:rsidRDefault="003B0F41">
      <w:pPr>
        <w:pStyle w:val="Funotentext"/>
        <w:rPr>
          <w:sz w:val="20"/>
        </w:rPr>
      </w:pPr>
      <w:r>
        <w:rPr>
          <w:rStyle w:val="Funotenzeichen"/>
        </w:rPr>
        <w:footnoteRef/>
      </w:r>
      <w:r>
        <w:t xml:space="preserve"> </w:t>
      </w:r>
      <w:r w:rsidRPr="00E23F28">
        <w:rPr>
          <w:sz w:val="20"/>
        </w:rPr>
        <w:t>Zu den Vorgaben, was gemeldet werden soll, s. Anhang.</w:t>
      </w:r>
    </w:p>
  </w:footnote>
  <w:footnote w:id="3">
    <w:p w14:paraId="68174887" w14:textId="77777777" w:rsidR="003B0F41" w:rsidRPr="004D7A38" w:rsidRDefault="003B0F41" w:rsidP="003B0F41">
      <w:pPr>
        <w:pStyle w:val="Funotentext"/>
        <w:rPr>
          <w:sz w:val="20"/>
        </w:rPr>
      </w:pPr>
      <w:r>
        <w:rPr>
          <w:rStyle w:val="Funotenzeichen"/>
        </w:rPr>
        <w:footnoteRef/>
      </w:r>
      <w:r>
        <w:t xml:space="preserve"> </w:t>
      </w:r>
      <w:r w:rsidRPr="004D7A38">
        <w:rPr>
          <w:sz w:val="20"/>
        </w:rPr>
        <w:t>Zu den Vorgaben, was gemeldet werden soll, s. Anhang.</w:t>
      </w:r>
    </w:p>
    <w:p w14:paraId="176EEB47" w14:textId="0B1963D3" w:rsidR="003B0F41" w:rsidRDefault="003B0F41">
      <w:pPr>
        <w:pStyle w:val="Funotentext"/>
      </w:pPr>
    </w:p>
  </w:footnote>
  <w:footnote w:id="4">
    <w:p w14:paraId="03A468DD" w14:textId="1F1F9B0C" w:rsidR="004546B4" w:rsidRDefault="004546B4">
      <w:pPr>
        <w:pStyle w:val="Funotentext"/>
      </w:pPr>
      <w:r>
        <w:rPr>
          <w:rStyle w:val="Funotenzeichen"/>
        </w:rPr>
        <w:footnoteRef/>
      </w:r>
      <w:r>
        <w:t xml:space="preserve"> </w:t>
      </w:r>
      <w:r w:rsidRPr="00E23F28">
        <w:rPr>
          <w:sz w:val="20"/>
        </w:rPr>
        <w:t>Diese sind Teil eines ITIL konformen Service Managements.</w:t>
      </w:r>
    </w:p>
  </w:footnote>
  <w:footnote w:id="5">
    <w:p w14:paraId="6A9EFD41" w14:textId="668AB0CF" w:rsidR="00E835D1" w:rsidRDefault="00E835D1">
      <w:pPr>
        <w:pStyle w:val="Funotentext"/>
      </w:pPr>
      <w:r>
        <w:rPr>
          <w:rStyle w:val="Funotenzeichen"/>
        </w:rPr>
        <w:footnoteRef/>
      </w:r>
      <w:r>
        <w:t xml:space="preserve"> </w:t>
      </w:r>
      <w:hyperlink r:id="rId1" w:history="1">
        <w:r w:rsidRPr="00E23F28">
          <w:rPr>
            <w:rStyle w:val="Link"/>
            <w:sz w:val="20"/>
          </w:rPr>
          <w:t>https://de.wikipedia.org/wiki/Aufbewahrungsfrist</w:t>
        </w:r>
      </w:hyperlink>
      <w:r w:rsidRPr="00E23F28">
        <w:rPr>
          <w:sz w:val="20"/>
        </w:rPr>
        <w:br/>
        <w:t>https://www.hk24.de/produktmarken/beratung-service/recht_und_steuern/steuerrecht/abgabenordnung/aufbewahrungsfristen/1157174</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D3859" w14:textId="360C21EE" w:rsidR="006B2447" w:rsidRDefault="006B2447" w:rsidP="006B2447">
    <w:pPr>
      <w:pStyle w:val="Kopfzeile"/>
      <w:jc w:val="center"/>
    </w:pPr>
    <w:r>
      <w:tab/>
    </w:r>
    <w:r>
      <w:tab/>
      <w:t xml:space="preserve">                                     </w:t>
    </w:r>
  </w:p>
  <w:p w14:paraId="7B2E9B6B" w14:textId="1F64AA12" w:rsidR="00594644" w:rsidRPr="00F87479" w:rsidRDefault="00594644" w:rsidP="00F87479">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32517"/>
    <w:multiLevelType w:val="hybridMultilevel"/>
    <w:tmpl w:val="23688E2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
    <w:nsid w:val="0B741A52"/>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nsid w:val="0BDF1EC5"/>
    <w:multiLevelType w:val="hybridMultilevel"/>
    <w:tmpl w:val="0EA2B45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0DB51DAE"/>
    <w:multiLevelType w:val="hybridMultilevel"/>
    <w:tmpl w:val="9FCE3E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4652C37"/>
    <w:multiLevelType w:val="hybridMultilevel"/>
    <w:tmpl w:val="CFCEA91C"/>
    <w:lvl w:ilvl="0" w:tplc="04070015">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4CD3333"/>
    <w:multiLevelType w:val="hybridMultilevel"/>
    <w:tmpl w:val="C7FCC9F2"/>
    <w:lvl w:ilvl="0" w:tplc="AB64BC2C">
      <w:start w:val="1"/>
      <w:numFmt w:val="bullet"/>
      <w:lvlText w:val="-"/>
      <w:lvlJc w:val="left"/>
      <w:pPr>
        <w:ind w:left="108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DBD0F2B"/>
    <w:multiLevelType w:val="hybridMultilevel"/>
    <w:tmpl w:val="2538570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nsid w:val="1E2F17B3"/>
    <w:multiLevelType w:val="hybridMultilevel"/>
    <w:tmpl w:val="46406AD6"/>
    <w:lvl w:ilvl="0" w:tplc="ACB67588">
      <w:start w:val="26"/>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F983DBB"/>
    <w:multiLevelType w:val="hybridMultilevel"/>
    <w:tmpl w:val="BADC2DB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25C41064"/>
    <w:multiLevelType w:val="hybridMultilevel"/>
    <w:tmpl w:val="083EB2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85748B3"/>
    <w:multiLevelType w:val="hybridMultilevel"/>
    <w:tmpl w:val="025A96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E0D72F0"/>
    <w:multiLevelType w:val="hybridMultilevel"/>
    <w:tmpl w:val="638C64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FBE5984"/>
    <w:multiLevelType w:val="hybridMultilevel"/>
    <w:tmpl w:val="4F1C522A"/>
    <w:lvl w:ilvl="0" w:tplc="ACE20E5C">
      <w:start w:val="1"/>
      <w:numFmt w:val="decimal"/>
      <w:pStyle w:val="NumberedEbene3"/>
      <w:lvlText w:val="(%1)"/>
      <w:lvlJc w:val="left"/>
      <w:pPr>
        <w:tabs>
          <w:tab w:val="num" w:pos="360"/>
        </w:tabs>
        <w:ind w:left="360" w:hanging="360"/>
      </w:pPr>
      <w:rPr>
        <w:rFonts w:hint="default"/>
      </w:rPr>
    </w:lvl>
    <w:lvl w:ilvl="1" w:tplc="04070019" w:tentative="1">
      <w:start w:val="1"/>
      <w:numFmt w:val="lowerLetter"/>
      <w:lvlText w:val="%2."/>
      <w:lvlJc w:val="left"/>
      <w:pPr>
        <w:tabs>
          <w:tab w:val="num" w:pos="873"/>
        </w:tabs>
        <w:ind w:left="873" w:hanging="360"/>
      </w:pPr>
    </w:lvl>
    <w:lvl w:ilvl="2" w:tplc="0407001B" w:tentative="1">
      <w:start w:val="1"/>
      <w:numFmt w:val="lowerRoman"/>
      <w:lvlText w:val="%3."/>
      <w:lvlJc w:val="right"/>
      <w:pPr>
        <w:tabs>
          <w:tab w:val="num" w:pos="1593"/>
        </w:tabs>
        <w:ind w:left="1593" w:hanging="180"/>
      </w:pPr>
    </w:lvl>
    <w:lvl w:ilvl="3" w:tplc="0407000F" w:tentative="1">
      <w:start w:val="1"/>
      <w:numFmt w:val="decimal"/>
      <w:lvlText w:val="%4."/>
      <w:lvlJc w:val="left"/>
      <w:pPr>
        <w:tabs>
          <w:tab w:val="num" w:pos="2313"/>
        </w:tabs>
        <w:ind w:left="2313" w:hanging="360"/>
      </w:pPr>
    </w:lvl>
    <w:lvl w:ilvl="4" w:tplc="04070019" w:tentative="1">
      <w:start w:val="1"/>
      <w:numFmt w:val="lowerLetter"/>
      <w:lvlText w:val="%5."/>
      <w:lvlJc w:val="left"/>
      <w:pPr>
        <w:tabs>
          <w:tab w:val="num" w:pos="3033"/>
        </w:tabs>
        <w:ind w:left="3033" w:hanging="360"/>
      </w:pPr>
    </w:lvl>
    <w:lvl w:ilvl="5" w:tplc="0407001B" w:tentative="1">
      <w:start w:val="1"/>
      <w:numFmt w:val="lowerRoman"/>
      <w:lvlText w:val="%6."/>
      <w:lvlJc w:val="right"/>
      <w:pPr>
        <w:tabs>
          <w:tab w:val="num" w:pos="3753"/>
        </w:tabs>
        <w:ind w:left="3753" w:hanging="180"/>
      </w:pPr>
    </w:lvl>
    <w:lvl w:ilvl="6" w:tplc="0407000F" w:tentative="1">
      <w:start w:val="1"/>
      <w:numFmt w:val="decimal"/>
      <w:lvlText w:val="%7."/>
      <w:lvlJc w:val="left"/>
      <w:pPr>
        <w:tabs>
          <w:tab w:val="num" w:pos="4473"/>
        </w:tabs>
        <w:ind w:left="4473" w:hanging="360"/>
      </w:pPr>
    </w:lvl>
    <w:lvl w:ilvl="7" w:tplc="04070019" w:tentative="1">
      <w:start w:val="1"/>
      <w:numFmt w:val="lowerLetter"/>
      <w:lvlText w:val="%8."/>
      <w:lvlJc w:val="left"/>
      <w:pPr>
        <w:tabs>
          <w:tab w:val="num" w:pos="5193"/>
        </w:tabs>
        <w:ind w:left="5193" w:hanging="360"/>
      </w:pPr>
    </w:lvl>
    <w:lvl w:ilvl="8" w:tplc="0407001B" w:tentative="1">
      <w:start w:val="1"/>
      <w:numFmt w:val="lowerRoman"/>
      <w:lvlText w:val="%9."/>
      <w:lvlJc w:val="right"/>
      <w:pPr>
        <w:tabs>
          <w:tab w:val="num" w:pos="5913"/>
        </w:tabs>
        <w:ind w:left="5913" w:hanging="180"/>
      </w:pPr>
    </w:lvl>
  </w:abstractNum>
  <w:abstractNum w:abstractNumId="13">
    <w:nsid w:val="344F7F8D"/>
    <w:multiLevelType w:val="hybridMultilevel"/>
    <w:tmpl w:val="0EA2B45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nsid w:val="351E04DF"/>
    <w:multiLevelType w:val="hybridMultilevel"/>
    <w:tmpl w:val="0FDA66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358C78D9"/>
    <w:multiLevelType w:val="hybridMultilevel"/>
    <w:tmpl w:val="00B20B7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nsid w:val="364D599C"/>
    <w:multiLevelType w:val="hybridMultilevel"/>
    <w:tmpl w:val="66AEB67E"/>
    <w:lvl w:ilvl="0" w:tplc="AB64BC2C">
      <w:start w:val="1"/>
      <w:numFmt w:val="bullet"/>
      <w:lvlText w:val="-"/>
      <w:lvlJc w:val="left"/>
      <w:pPr>
        <w:ind w:left="1080" w:hanging="360"/>
      </w:pPr>
      <w:rPr>
        <w:rFonts w:ascii="Calibri" w:eastAsia="Calibri" w:hAnsi="Calibri"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nsid w:val="36B45C90"/>
    <w:multiLevelType w:val="hybridMultilevel"/>
    <w:tmpl w:val="76B4484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nsid w:val="40C226C8"/>
    <w:multiLevelType w:val="hybridMultilevel"/>
    <w:tmpl w:val="01E4FA10"/>
    <w:lvl w:ilvl="0" w:tplc="88B87034">
      <w:start w:val="19"/>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4F4E3B91"/>
    <w:multiLevelType w:val="hybridMultilevel"/>
    <w:tmpl w:val="1CBEFEEC"/>
    <w:lvl w:ilvl="0" w:tplc="0407000F">
      <w:start w:val="1"/>
      <w:numFmt w:val="decimal"/>
      <w:lvlText w:val="%1."/>
      <w:lvlJc w:val="left"/>
      <w:pPr>
        <w:tabs>
          <w:tab w:val="num" w:pos="720"/>
        </w:tabs>
        <w:ind w:left="720" w:hanging="360"/>
      </w:pPr>
      <w:rPr>
        <w:rFonts w:cs="Times New Roman" w:hint="default"/>
      </w:rPr>
    </w:lvl>
    <w:lvl w:ilvl="1" w:tplc="79982C70">
      <w:start w:val="505"/>
      <w:numFmt w:val="bullet"/>
      <w:lvlText w:val="-"/>
      <w:lvlJc w:val="left"/>
      <w:pPr>
        <w:tabs>
          <w:tab w:val="num" w:pos="1440"/>
        </w:tabs>
        <w:ind w:left="1440" w:hanging="360"/>
      </w:pPr>
      <w:rPr>
        <w:rFonts w:ascii="Arial" w:eastAsia="@Arial Unicode MS" w:hAnsi="Arial"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nsid w:val="57E70BBA"/>
    <w:multiLevelType w:val="hybridMultilevel"/>
    <w:tmpl w:val="3544EC7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nsid w:val="5EF40839"/>
    <w:multiLevelType w:val="hybridMultilevel"/>
    <w:tmpl w:val="0EA2B45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nsid w:val="60BF3927"/>
    <w:multiLevelType w:val="hybridMultilevel"/>
    <w:tmpl w:val="C5DC46D8"/>
    <w:lvl w:ilvl="0" w:tplc="8FD0A952">
      <w:start w:val="1"/>
      <w:numFmt w:val="decimal"/>
      <w:pStyle w:val="NumberedEbene2"/>
      <w:lvlText w:val="(%1)"/>
      <w:lvlJc w:val="left"/>
      <w:pPr>
        <w:tabs>
          <w:tab w:val="num" w:pos="360"/>
        </w:tabs>
        <w:ind w:left="360" w:hanging="360"/>
      </w:pPr>
      <w:rPr>
        <w:rFonts w:hint="default"/>
        <w:lang w:val="de-DE"/>
      </w:rPr>
    </w:lvl>
    <w:lvl w:ilvl="1" w:tplc="0C1AA708">
      <w:start w:val="1"/>
      <w:numFmt w:val="bullet"/>
      <w:lvlText w:val=""/>
      <w:lvlJc w:val="left"/>
      <w:pPr>
        <w:tabs>
          <w:tab w:val="num" w:pos="1534"/>
        </w:tabs>
        <w:ind w:left="1534" w:hanging="454"/>
      </w:pPr>
      <w:rPr>
        <w:rFonts w:ascii="Wingdings" w:hAnsi="Wingdings" w:hint="default"/>
        <w:lang w:val="de-DE"/>
      </w:rPr>
    </w:lvl>
    <w:lvl w:ilvl="2" w:tplc="04070001">
      <w:start w:val="1"/>
      <w:numFmt w:val="bullet"/>
      <w:lvlText w:val=""/>
      <w:lvlJc w:val="left"/>
      <w:pPr>
        <w:tabs>
          <w:tab w:val="num" w:pos="2340"/>
        </w:tabs>
        <w:ind w:left="2340" w:hanging="360"/>
      </w:pPr>
      <w:rPr>
        <w:rFonts w:ascii="Symbol" w:hAnsi="Symbol" w:hint="default"/>
        <w:lang w:val="de-DE"/>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nsid w:val="6103069B"/>
    <w:multiLevelType w:val="hybridMultilevel"/>
    <w:tmpl w:val="2E90CE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1BC27C8"/>
    <w:multiLevelType w:val="hybridMultilevel"/>
    <w:tmpl w:val="0EA2B45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nsid w:val="64B07571"/>
    <w:multiLevelType w:val="hybridMultilevel"/>
    <w:tmpl w:val="99840C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685018A1"/>
    <w:multiLevelType w:val="multilevel"/>
    <w:tmpl w:val="9782D5C0"/>
    <w:styleLink w:val="FormatvorlageAufgezhltMitGliederung11pt"/>
    <w:lvl w:ilvl="0">
      <w:start w:val="1"/>
      <w:numFmt w:val="bullet"/>
      <w:lvlText w:val=""/>
      <w:lvlJc w:val="left"/>
      <w:pPr>
        <w:tabs>
          <w:tab w:val="num" w:pos="720"/>
        </w:tabs>
        <w:ind w:left="720" w:hanging="360"/>
      </w:pPr>
      <w:rPr>
        <w:rFonts w:ascii="Wingdings" w:hAnsi="Wingdings" w:hint="default"/>
        <w:sz w:val="16"/>
      </w:rPr>
    </w:lvl>
    <w:lvl w:ilvl="1">
      <w:start w:val="1"/>
      <w:numFmt w:val="bullet"/>
      <w:lvlText w:val=""/>
      <w:lvlJc w:val="left"/>
      <w:pPr>
        <w:tabs>
          <w:tab w:val="num" w:pos="1440"/>
        </w:tabs>
        <w:ind w:left="1440" w:hanging="360"/>
      </w:pPr>
      <w:rPr>
        <w:rFonts w:ascii="Wingdings" w:hAnsi="Wingdings"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70C223A3"/>
    <w:multiLevelType w:val="hybridMultilevel"/>
    <w:tmpl w:val="D560724C"/>
    <w:lvl w:ilvl="0" w:tplc="3C74ADCC">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nsid w:val="76E45D92"/>
    <w:multiLevelType w:val="hybridMultilevel"/>
    <w:tmpl w:val="77B4BE3A"/>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3"/>
  </w:num>
  <w:num w:numId="2">
    <w:abstractNumId w:val="1"/>
  </w:num>
  <w:num w:numId="3">
    <w:abstractNumId w:val="10"/>
  </w:num>
  <w:num w:numId="4">
    <w:abstractNumId w:val="16"/>
  </w:num>
  <w:num w:numId="5">
    <w:abstractNumId w:val="28"/>
  </w:num>
  <w:num w:numId="6">
    <w:abstractNumId w:val="9"/>
  </w:num>
  <w:num w:numId="7">
    <w:abstractNumId w:val="5"/>
  </w:num>
  <w:num w:numId="8">
    <w:abstractNumId w:val="11"/>
  </w:num>
  <w:num w:numId="9">
    <w:abstractNumId w:val="25"/>
  </w:num>
  <w:num w:numId="10">
    <w:abstractNumId w:val="14"/>
  </w:num>
  <w:num w:numId="11">
    <w:abstractNumId w:val="3"/>
  </w:num>
  <w:num w:numId="12">
    <w:abstractNumId w:val="19"/>
  </w:num>
  <w:num w:numId="13">
    <w:abstractNumId w:val="7"/>
  </w:num>
  <w:num w:numId="14">
    <w:abstractNumId w:val="26"/>
  </w:num>
  <w:num w:numId="15">
    <w:abstractNumId w:val="18"/>
  </w:num>
  <w:num w:numId="16">
    <w:abstractNumId w:val="12"/>
  </w:num>
  <w:num w:numId="17">
    <w:abstractNumId w:val="12"/>
    <w:lvlOverride w:ilvl="0">
      <w:startOverride w:val="1"/>
    </w:lvlOverride>
  </w:num>
  <w:num w:numId="18">
    <w:abstractNumId w:val="22"/>
  </w:num>
  <w:num w:numId="19">
    <w:abstractNumId w:val="22"/>
    <w:lvlOverride w:ilvl="0">
      <w:startOverride w:val="1"/>
    </w:lvlOverride>
  </w:num>
  <w:num w:numId="20">
    <w:abstractNumId w:val="22"/>
    <w:lvlOverride w:ilvl="0">
      <w:startOverride w:val="1"/>
    </w:lvlOverride>
  </w:num>
  <w:num w:numId="21">
    <w:abstractNumId w:val="22"/>
    <w:lvlOverride w:ilvl="0">
      <w:startOverride w:val="1"/>
    </w:lvlOverride>
  </w:num>
  <w:num w:numId="22">
    <w:abstractNumId w:val="4"/>
  </w:num>
  <w:num w:numId="23">
    <w:abstractNumId w:val="22"/>
    <w:lvlOverride w:ilvl="0">
      <w:startOverride w:val="1"/>
    </w:lvlOverride>
  </w:num>
  <w:num w:numId="24">
    <w:abstractNumId w:val="6"/>
  </w:num>
  <w:num w:numId="25">
    <w:abstractNumId w:val="8"/>
  </w:num>
  <w:num w:numId="26">
    <w:abstractNumId w:val="20"/>
  </w:num>
  <w:num w:numId="27">
    <w:abstractNumId w:val="15"/>
  </w:num>
  <w:num w:numId="28">
    <w:abstractNumId w:val="13"/>
  </w:num>
  <w:num w:numId="29">
    <w:abstractNumId w:val="0"/>
  </w:num>
  <w:num w:numId="30">
    <w:abstractNumId w:val="21"/>
  </w:num>
  <w:num w:numId="31">
    <w:abstractNumId w:val="24"/>
  </w:num>
  <w:num w:numId="32">
    <w:abstractNumId w:val="2"/>
  </w:num>
  <w:num w:numId="33">
    <w:abstractNumId w:val="17"/>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activeWritingStyle w:appName="MSWord" w:lang="de-DE"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373"/>
    <w:rsid w:val="0000063A"/>
    <w:rsid w:val="000011EC"/>
    <w:rsid w:val="00047801"/>
    <w:rsid w:val="00050226"/>
    <w:rsid w:val="00051EC1"/>
    <w:rsid w:val="000539C1"/>
    <w:rsid w:val="0008753C"/>
    <w:rsid w:val="00096CFC"/>
    <w:rsid w:val="000A31D9"/>
    <w:rsid w:val="000C473E"/>
    <w:rsid w:val="000E20F9"/>
    <w:rsid w:val="000F2714"/>
    <w:rsid w:val="001056FC"/>
    <w:rsid w:val="00107D01"/>
    <w:rsid w:val="00111C5F"/>
    <w:rsid w:val="00116181"/>
    <w:rsid w:val="001279AC"/>
    <w:rsid w:val="0013376F"/>
    <w:rsid w:val="00134C23"/>
    <w:rsid w:val="001406F3"/>
    <w:rsid w:val="00187E05"/>
    <w:rsid w:val="001A1816"/>
    <w:rsid w:val="001A4092"/>
    <w:rsid w:val="001B10D1"/>
    <w:rsid w:val="001C028E"/>
    <w:rsid w:val="001C0878"/>
    <w:rsid w:val="001C1455"/>
    <w:rsid w:val="001C4E80"/>
    <w:rsid w:val="001D4C28"/>
    <w:rsid w:val="001E01D1"/>
    <w:rsid w:val="001E1777"/>
    <w:rsid w:val="001E45D0"/>
    <w:rsid w:val="001E6EC2"/>
    <w:rsid w:val="001F4978"/>
    <w:rsid w:val="00210D83"/>
    <w:rsid w:val="00213E4F"/>
    <w:rsid w:val="00226533"/>
    <w:rsid w:val="00241F25"/>
    <w:rsid w:val="0024407A"/>
    <w:rsid w:val="00252A5C"/>
    <w:rsid w:val="00253227"/>
    <w:rsid w:val="00253B1E"/>
    <w:rsid w:val="00253F36"/>
    <w:rsid w:val="002567B1"/>
    <w:rsid w:val="00276D98"/>
    <w:rsid w:val="002908D7"/>
    <w:rsid w:val="0029573E"/>
    <w:rsid w:val="00297313"/>
    <w:rsid w:val="002A307A"/>
    <w:rsid w:val="002B3573"/>
    <w:rsid w:val="002B4D16"/>
    <w:rsid w:val="002B6518"/>
    <w:rsid w:val="002C23F6"/>
    <w:rsid w:val="002C2EDA"/>
    <w:rsid w:val="002E291D"/>
    <w:rsid w:val="002F0054"/>
    <w:rsid w:val="00302C7D"/>
    <w:rsid w:val="003046EB"/>
    <w:rsid w:val="00334FF0"/>
    <w:rsid w:val="00336793"/>
    <w:rsid w:val="00343722"/>
    <w:rsid w:val="0035156F"/>
    <w:rsid w:val="00356C9E"/>
    <w:rsid w:val="00357790"/>
    <w:rsid w:val="00360924"/>
    <w:rsid w:val="00372998"/>
    <w:rsid w:val="00372F59"/>
    <w:rsid w:val="00382861"/>
    <w:rsid w:val="00392A19"/>
    <w:rsid w:val="003A7679"/>
    <w:rsid w:val="003A7F0B"/>
    <w:rsid w:val="003B0F41"/>
    <w:rsid w:val="003F3295"/>
    <w:rsid w:val="003F6F8D"/>
    <w:rsid w:val="004015EA"/>
    <w:rsid w:val="00406493"/>
    <w:rsid w:val="004134B3"/>
    <w:rsid w:val="00420BD0"/>
    <w:rsid w:val="00422186"/>
    <w:rsid w:val="00423AF8"/>
    <w:rsid w:val="004445C3"/>
    <w:rsid w:val="004546B4"/>
    <w:rsid w:val="00455B96"/>
    <w:rsid w:val="004637E9"/>
    <w:rsid w:val="00464374"/>
    <w:rsid w:val="00486992"/>
    <w:rsid w:val="004A1032"/>
    <w:rsid w:val="004A1A4E"/>
    <w:rsid w:val="004A6AF0"/>
    <w:rsid w:val="004E11A7"/>
    <w:rsid w:val="004E386B"/>
    <w:rsid w:val="00503CBE"/>
    <w:rsid w:val="00514A4B"/>
    <w:rsid w:val="00515A46"/>
    <w:rsid w:val="0054025F"/>
    <w:rsid w:val="00541608"/>
    <w:rsid w:val="00545C45"/>
    <w:rsid w:val="00562401"/>
    <w:rsid w:val="0057193E"/>
    <w:rsid w:val="00572131"/>
    <w:rsid w:val="00587D4D"/>
    <w:rsid w:val="00594644"/>
    <w:rsid w:val="00595373"/>
    <w:rsid w:val="005B0553"/>
    <w:rsid w:val="005B0631"/>
    <w:rsid w:val="005B64F3"/>
    <w:rsid w:val="005B6D9A"/>
    <w:rsid w:val="005C2D17"/>
    <w:rsid w:val="005D6CDD"/>
    <w:rsid w:val="005E5473"/>
    <w:rsid w:val="005F2270"/>
    <w:rsid w:val="00602B0F"/>
    <w:rsid w:val="006102E0"/>
    <w:rsid w:val="0061045B"/>
    <w:rsid w:val="0066124A"/>
    <w:rsid w:val="00662342"/>
    <w:rsid w:val="00692E75"/>
    <w:rsid w:val="0069331C"/>
    <w:rsid w:val="006B2447"/>
    <w:rsid w:val="006C49FF"/>
    <w:rsid w:val="006D3CB7"/>
    <w:rsid w:val="006F1976"/>
    <w:rsid w:val="00701D9B"/>
    <w:rsid w:val="007329B5"/>
    <w:rsid w:val="00735253"/>
    <w:rsid w:val="007368ED"/>
    <w:rsid w:val="0075412F"/>
    <w:rsid w:val="00766D6F"/>
    <w:rsid w:val="00776112"/>
    <w:rsid w:val="00792AC1"/>
    <w:rsid w:val="007A0314"/>
    <w:rsid w:val="007A40D9"/>
    <w:rsid w:val="007A773A"/>
    <w:rsid w:val="007D3333"/>
    <w:rsid w:val="007F3DAC"/>
    <w:rsid w:val="007F47AC"/>
    <w:rsid w:val="00802DEA"/>
    <w:rsid w:val="00803B40"/>
    <w:rsid w:val="00804610"/>
    <w:rsid w:val="00811904"/>
    <w:rsid w:val="008164BC"/>
    <w:rsid w:val="00823825"/>
    <w:rsid w:val="0083383C"/>
    <w:rsid w:val="00846EDA"/>
    <w:rsid w:val="0086045D"/>
    <w:rsid w:val="0087209D"/>
    <w:rsid w:val="00873B42"/>
    <w:rsid w:val="00873CF5"/>
    <w:rsid w:val="008814C0"/>
    <w:rsid w:val="00892FE7"/>
    <w:rsid w:val="008A1A88"/>
    <w:rsid w:val="008A4B23"/>
    <w:rsid w:val="008B0F16"/>
    <w:rsid w:val="008B707F"/>
    <w:rsid w:val="008C057C"/>
    <w:rsid w:val="008D4377"/>
    <w:rsid w:val="008E34D6"/>
    <w:rsid w:val="008E59B9"/>
    <w:rsid w:val="008F046A"/>
    <w:rsid w:val="008F7540"/>
    <w:rsid w:val="00907D5D"/>
    <w:rsid w:val="0094223C"/>
    <w:rsid w:val="009630E3"/>
    <w:rsid w:val="00964E24"/>
    <w:rsid w:val="00972F05"/>
    <w:rsid w:val="00987518"/>
    <w:rsid w:val="00987885"/>
    <w:rsid w:val="009B2021"/>
    <w:rsid w:val="009C332C"/>
    <w:rsid w:val="009C4047"/>
    <w:rsid w:val="009C42EA"/>
    <w:rsid w:val="009C783C"/>
    <w:rsid w:val="009F2C89"/>
    <w:rsid w:val="00A0506A"/>
    <w:rsid w:val="00A21F1E"/>
    <w:rsid w:val="00A24E85"/>
    <w:rsid w:val="00A266C6"/>
    <w:rsid w:val="00A64BE5"/>
    <w:rsid w:val="00A73D69"/>
    <w:rsid w:val="00A84385"/>
    <w:rsid w:val="00A87959"/>
    <w:rsid w:val="00A944F0"/>
    <w:rsid w:val="00AA0818"/>
    <w:rsid w:val="00AA53F3"/>
    <w:rsid w:val="00AE0920"/>
    <w:rsid w:val="00B10863"/>
    <w:rsid w:val="00B1149A"/>
    <w:rsid w:val="00B17E88"/>
    <w:rsid w:val="00B24834"/>
    <w:rsid w:val="00B26FF1"/>
    <w:rsid w:val="00B36A5F"/>
    <w:rsid w:val="00B4160D"/>
    <w:rsid w:val="00B53096"/>
    <w:rsid w:val="00B70232"/>
    <w:rsid w:val="00B73434"/>
    <w:rsid w:val="00B748B5"/>
    <w:rsid w:val="00B75DF3"/>
    <w:rsid w:val="00B9724C"/>
    <w:rsid w:val="00BA145A"/>
    <w:rsid w:val="00BA49AA"/>
    <w:rsid w:val="00BA51D9"/>
    <w:rsid w:val="00BA7F8E"/>
    <w:rsid w:val="00BB5F07"/>
    <w:rsid w:val="00BB6889"/>
    <w:rsid w:val="00BD4DC2"/>
    <w:rsid w:val="00BD5D89"/>
    <w:rsid w:val="00BE6575"/>
    <w:rsid w:val="00C016BB"/>
    <w:rsid w:val="00C03633"/>
    <w:rsid w:val="00C17452"/>
    <w:rsid w:val="00C356AD"/>
    <w:rsid w:val="00C55C6C"/>
    <w:rsid w:val="00C64EEC"/>
    <w:rsid w:val="00C6520F"/>
    <w:rsid w:val="00C75DDB"/>
    <w:rsid w:val="00C833AC"/>
    <w:rsid w:val="00C84BDF"/>
    <w:rsid w:val="00C9035B"/>
    <w:rsid w:val="00C90F5E"/>
    <w:rsid w:val="00C93693"/>
    <w:rsid w:val="00C943BC"/>
    <w:rsid w:val="00CA7EB9"/>
    <w:rsid w:val="00CB2E35"/>
    <w:rsid w:val="00CB41CA"/>
    <w:rsid w:val="00CC0E5F"/>
    <w:rsid w:val="00CC3ACB"/>
    <w:rsid w:val="00CF2229"/>
    <w:rsid w:val="00CF5481"/>
    <w:rsid w:val="00D02A73"/>
    <w:rsid w:val="00D03813"/>
    <w:rsid w:val="00D06131"/>
    <w:rsid w:val="00D06518"/>
    <w:rsid w:val="00D117D3"/>
    <w:rsid w:val="00D15141"/>
    <w:rsid w:val="00D16762"/>
    <w:rsid w:val="00D23540"/>
    <w:rsid w:val="00D330A7"/>
    <w:rsid w:val="00D34D9C"/>
    <w:rsid w:val="00D445A3"/>
    <w:rsid w:val="00D47A98"/>
    <w:rsid w:val="00D55A0A"/>
    <w:rsid w:val="00D57A45"/>
    <w:rsid w:val="00D61E89"/>
    <w:rsid w:val="00D64F89"/>
    <w:rsid w:val="00D662DD"/>
    <w:rsid w:val="00D723B2"/>
    <w:rsid w:val="00D75F12"/>
    <w:rsid w:val="00D805E4"/>
    <w:rsid w:val="00D80790"/>
    <w:rsid w:val="00D953FB"/>
    <w:rsid w:val="00DC6031"/>
    <w:rsid w:val="00DD54C6"/>
    <w:rsid w:val="00DE5543"/>
    <w:rsid w:val="00DE7A84"/>
    <w:rsid w:val="00E00220"/>
    <w:rsid w:val="00E0144D"/>
    <w:rsid w:val="00E23F28"/>
    <w:rsid w:val="00E30A53"/>
    <w:rsid w:val="00E418B8"/>
    <w:rsid w:val="00E574A5"/>
    <w:rsid w:val="00E7613F"/>
    <w:rsid w:val="00E80922"/>
    <w:rsid w:val="00E83538"/>
    <w:rsid w:val="00E835D1"/>
    <w:rsid w:val="00E85845"/>
    <w:rsid w:val="00EB28E5"/>
    <w:rsid w:val="00EC096A"/>
    <w:rsid w:val="00EC38B0"/>
    <w:rsid w:val="00EC7727"/>
    <w:rsid w:val="00ED4589"/>
    <w:rsid w:val="00EE4A14"/>
    <w:rsid w:val="00EF225C"/>
    <w:rsid w:val="00EF3F8B"/>
    <w:rsid w:val="00EF59E9"/>
    <w:rsid w:val="00F31E54"/>
    <w:rsid w:val="00F37472"/>
    <w:rsid w:val="00F40A44"/>
    <w:rsid w:val="00F50877"/>
    <w:rsid w:val="00F6719D"/>
    <w:rsid w:val="00F71CA3"/>
    <w:rsid w:val="00F76C99"/>
    <w:rsid w:val="00F87479"/>
    <w:rsid w:val="00FB19FD"/>
    <w:rsid w:val="00FE43A0"/>
    <w:rsid w:val="00FE7079"/>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67DD67"/>
  <w15:docId w15:val="{25B5D019-BCAC-4644-9A6B-48B4D8255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Table Theme"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595373"/>
    <w:pPr>
      <w:keepNext/>
      <w:numPr>
        <w:numId w:val="2"/>
      </w:numPr>
      <w:spacing w:before="240" w:after="60"/>
      <w:outlineLvl w:val="0"/>
    </w:pPr>
    <w:rPr>
      <w:rFonts w:ascii="Cambria" w:eastAsia="Times New Roman" w:hAnsi="Cambria"/>
      <w:b/>
      <w:bCs/>
      <w:kern w:val="32"/>
      <w:sz w:val="32"/>
      <w:szCs w:val="32"/>
    </w:rPr>
  </w:style>
  <w:style w:type="paragraph" w:styleId="berschrift2">
    <w:name w:val="heading 2"/>
    <w:basedOn w:val="Standard"/>
    <w:next w:val="Standard"/>
    <w:link w:val="berschrift2Zchn"/>
    <w:uiPriority w:val="9"/>
    <w:unhideWhenUsed/>
    <w:qFormat/>
    <w:rsid w:val="00595373"/>
    <w:pPr>
      <w:keepNext/>
      <w:numPr>
        <w:ilvl w:val="1"/>
        <w:numId w:val="2"/>
      </w:numPr>
      <w:spacing w:before="240" w:after="60"/>
      <w:outlineLvl w:val="1"/>
    </w:pPr>
    <w:rPr>
      <w:rFonts w:ascii="Cambria" w:eastAsia="Times New Roman" w:hAnsi="Cambria"/>
      <w:b/>
      <w:bCs/>
      <w:i/>
      <w:iCs/>
      <w:sz w:val="28"/>
      <w:szCs w:val="28"/>
    </w:rPr>
  </w:style>
  <w:style w:type="paragraph" w:styleId="berschrift3">
    <w:name w:val="heading 3"/>
    <w:basedOn w:val="Standard"/>
    <w:next w:val="Standard"/>
    <w:link w:val="berschrift3Zchn"/>
    <w:uiPriority w:val="9"/>
    <w:unhideWhenUsed/>
    <w:qFormat/>
    <w:rsid w:val="00E85845"/>
    <w:pPr>
      <w:keepNext/>
      <w:numPr>
        <w:ilvl w:val="2"/>
        <w:numId w:val="2"/>
      </w:numPr>
      <w:spacing w:before="240" w:after="60"/>
      <w:outlineLvl w:val="2"/>
    </w:pPr>
    <w:rPr>
      <w:rFonts w:ascii="Cambria" w:eastAsia="Times New Roman" w:hAnsi="Cambria"/>
      <w:b/>
      <w:bCs/>
      <w:sz w:val="26"/>
      <w:szCs w:val="26"/>
    </w:rPr>
  </w:style>
  <w:style w:type="paragraph" w:styleId="berschrift4">
    <w:name w:val="heading 4"/>
    <w:basedOn w:val="Standard"/>
    <w:next w:val="Standard"/>
    <w:link w:val="berschrift4Zchn"/>
    <w:uiPriority w:val="9"/>
    <w:unhideWhenUsed/>
    <w:qFormat/>
    <w:rsid w:val="00E85845"/>
    <w:pPr>
      <w:keepNext/>
      <w:numPr>
        <w:ilvl w:val="3"/>
        <w:numId w:val="2"/>
      </w:numPr>
      <w:spacing w:before="240" w:after="60"/>
      <w:outlineLvl w:val="3"/>
    </w:pPr>
    <w:rPr>
      <w:rFonts w:eastAsia="Times New Roman"/>
      <w:b/>
      <w:bCs/>
      <w:sz w:val="28"/>
      <w:szCs w:val="28"/>
    </w:rPr>
  </w:style>
  <w:style w:type="paragraph" w:styleId="berschrift5">
    <w:name w:val="heading 5"/>
    <w:basedOn w:val="Standard"/>
    <w:next w:val="Standard"/>
    <w:link w:val="berschrift5Zchn"/>
    <w:uiPriority w:val="9"/>
    <w:unhideWhenUsed/>
    <w:qFormat/>
    <w:rsid w:val="00E85845"/>
    <w:pPr>
      <w:numPr>
        <w:ilvl w:val="4"/>
        <w:numId w:val="2"/>
      </w:numPr>
      <w:spacing w:before="240" w:after="60"/>
      <w:outlineLvl w:val="4"/>
    </w:pPr>
    <w:rPr>
      <w:rFonts w:eastAsia="Times New Roman"/>
      <w:b/>
      <w:bCs/>
      <w:i/>
      <w:iCs/>
      <w:sz w:val="26"/>
      <w:szCs w:val="26"/>
    </w:rPr>
  </w:style>
  <w:style w:type="paragraph" w:styleId="berschrift6">
    <w:name w:val="heading 6"/>
    <w:basedOn w:val="Standard"/>
    <w:next w:val="Standard"/>
    <w:link w:val="berschrift6Zchn"/>
    <w:uiPriority w:val="9"/>
    <w:unhideWhenUsed/>
    <w:qFormat/>
    <w:rsid w:val="00E85845"/>
    <w:pPr>
      <w:numPr>
        <w:ilvl w:val="5"/>
        <w:numId w:val="2"/>
      </w:numPr>
      <w:spacing w:before="240" w:after="60"/>
      <w:outlineLvl w:val="5"/>
    </w:pPr>
    <w:rPr>
      <w:rFonts w:eastAsia="Times New Roman"/>
      <w:b/>
      <w:bCs/>
    </w:rPr>
  </w:style>
  <w:style w:type="paragraph" w:styleId="berschrift7">
    <w:name w:val="heading 7"/>
    <w:basedOn w:val="Standard"/>
    <w:next w:val="Standard"/>
    <w:link w:val="berschrift7Zchn"/>
    <w:uiPriority w:val="9"/>
    <w:unhideWhenUsed/>
    <w:qFormat/>
    <w:rsid w:val="00E85845"/>
    <w:pPr>
      <w:numPr>
        <w:ilvl w:val="6"/>
        <w:numId w:val="2"/>
      </w:numPr>
      <w:spacing w:before="240" w:after="60"/>
      <w:outlineLvl w:val="6"/>
    </w:pPr>
    <w:rPr>
      <w:rFonts w:eastAsia="Times New Roman"/>
      <w:sz w:val="24"/>
      <w:szCs w:val="24"/>
    </w:rPr>
  </w:style>
  <w:style w:type="paragraph" w:styleId="berschrift8">
    <w:name w:val="heading 8"/>
    <w:basedOn w:val="Standard"/>
    <w:next w:val="Standard"/>
    <w:link w:val="berschrift8Zchn"/>
    <w:uiPriority w:val="9"/>
    <w:unhideWhenUsed/>
    <w:qFormat/>
    <w:rsid w:val="00E85845"/>
    <w:pPr>
      <w:numPr>
        <w:ilvl w:val="7"/>
        <w:numId w:val="2"/>
      </w:numPr>
      <w:spacing w:before="240" w:after="60"/>
      <w:outlineLvl w:val="7"/>
    </w:pPr>
    <w:rPr>
      <w:rFonts w:eastAsia="Times New Roman"/>
      <w:i/>
      <w:iCs/>
      <w:sz w:val="24"/>
      <w:szCs w:val="24"/>
    </w:rPr>
  </w:style>
  <w:style w:type="paragraph" w:styleId="berschrift9">
    <w:name w:val="heading 9"/>
    <w:basedOn w:val="Standard"/>
    <w:next w:val="Standard"/>
    <w:link w:val="berschrift9Zchn"/>
    <w:uiPriority w:val="9"/>
    <w:unhideWhenUsed/>
    <w:qFormat/>
    <w:rsid w:val="00E85845"/>
    <w:pPr>
      <w:numPr>
        <w:ilvl w:val="8"/>
        <w:numId w:val="2"/>
      </w:numPr>
      <w:spacing w:before="240" w:after="60"/>
      <w:outlineLvl w:val="8"/>
    </w:pPr>
    <w:rPr>
      <w:rFonts w:ascii="Cambria" w:eastAsia="Times New Roman" w:hAnsi="Cambr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595373"/>
    <w:rPr>
      <w:rFonts w:ascii="Cambria" w:eastAsia="Times New Roman" w:hAnsi="Cambria"/>
      <w:b/>
      <w:bCs/>
      <w:kern w:val="32"/>
      <w:sz w:val="32"/>
      <w:szCs w:val="32"/>
      <w:lang w:eastAsia="en-US"/>
    </w:rPr>
  </w:style>
  <w:style w:type="paragraph" w:styleId="Inhaltsverzeichnisberschrift">
    <w:name w:val="TOC Heading"/>
    <w:basedOn w:val="berschrift1"/>
    <w:next w:val="Standard"/>
    <w:uiPriority w:val="39"/>
    <w:semiHidden/>
    <w:unhideWhenUsed/>
    <w:qFormat/>
    <w:rsid w:val="00595373"/>
    <w:pPr>
      <w:keepLines/>
      <w:spacing w:before="480" w:after="0"/>
      <w:outlineLvl w:val="9"/>
    </w:pPr>
    <w:rPr>
      <w:color w:val="365F91"/>
      <w:kern w:val="0"/>
      <w:sz w:val="28"/>
      <w:szCs w:val="28"/>
      <w:lang w:eastAsia="de-DE"/>
    </w:rPr>
  </w:style>
  <w:style w:type="character" w:customStyle="1" w:styleId="berschrift2Zchn">
    <w:name w:val="Überschrift 2 Zchn"/>
    <w:link w:val="berschrift2"/>
    <w:uiPriority w:val="9"/>
    <w:rsid w:val="00595373"/>
    <w:rPr>
      <w:rFonts w:ascii="Cambria" w:eastAsia="Times New Roman" w:hAnsi="Cambria"/>
      <w:b/>
      <w:bCs/>
      <w:i/>
      <w:iCs/>
      <w:sz w:val="28"/>
      <w:szCs w:val="28"/>
      <w:lang w:eastAsia="en-US"/>
    </w:rPr>
  </w:style>
  <w:style w:type="paragraph" w:styleId="Kopfzeile">
    <w:name w:val="header"/>
    <w:basedOn w:val="Standard"/>
    <w:link w:val="KopfzeileZchn"/>
    <w:uiPriority w:val="99"/>
    <w:unhideWhenUsed/>
    <w:rsid w:val="00E85845"/>
    <w:pPr>
      <w:tabs>
        <w:tab w:val="center" w:pos="4536"/>
        <w:tab w:val="right" w:pos="9072"/>
      </w:tabs>
    </w:pPr>
  </w:style>
  <w:style w:type="character" w:customStyle="1" w:styleId="KopfzeileZchn">
    <w:name w:val="Kopfzeile Zchn"/>
    <w:link w:val="Kopfzeile"/>
    <w:uiPriority w:val="99"/>
    <w:rsid w:val="00E85845"/>
    <w:rPr>
      <w:sz w:val="22"/>
      <w:szCs w:val="22"/>
      <w:lang w:eastAsia="en-US"/>
    </w:rPr>
  </w:style>
  <w:style w:type="paragraph" w:styleId="Fuzeile">
    <w:name w:val="footer"/>
    <w:basedOn w:val="Standard"/>
    <w:link w:val="FuzeileZchn"/>
    <w:uiPriority w:val="99"/>
    <w:unhideWhenUsed/>
    <w:rsid w:val="00E85845"/>
    <w:pPr>
      <w:tabs>
        <w:tab w:val="center" w:pos="4536"/>
        <w:tab w:val="right" w:pos="9072"/>
      </w:tabs>
    </w:pPr>
  </w:style>
  <w:style w:type="character" w:customStyle="1" w:styleId="FuzeileZchn">
    <w:name w:val="Fußzeile Zchn"/>
    <w:link w:val="Fuzeile"/>
    <w:uiPriority w:val="99"/>
    <w:rsid w:val="00E85845"/>
    <w:rPr>
      <w:sz w:val="22"/>
      <w:szCs w:val="22"/>
      <w:lang w:eastAsia="en-US"/>
    </w:rPr>
  </w:style>
  <w:style w:type="paragraph" w:styleId="Verzeichnis1">
    <w:name w:val="toc 1"/>
    <w:basedOn w:val="Standard"/>
    <w:next w:val="Standard"/>
    <w:autoRedefine/>
    <w:uiPriority w:val="39"/>
    <w:unhideWhenUsed/>
    <w:rsid w:val="00E85845"/>
  </w:style>
  <w:style w:type="character" w:styleId="Link">
    <w:name w:val="Hyperlink"/>
    <w:uiPriority w:val="99"/>
    <w:unhideWhenUsed/>
    <w:rsid w:val="00E85845"/>
    <w:rPr>
      <w:color w:val="0000FF"/>
      <w:u w:val="single"/>
    </w:rPr>
  </w:style>
  <w:style w:type="character" w:customStyle="1" w:styleId="berschrift3Zchn">
    <w:name w:val="Überschrift 3 Zchn"/>
    <w:link w:val="berschrift3"/>
    <w:uiPriority w:val="9"/>
    <w:rsid w:val="00E85845"/>
    <w:rPr>
      <w:rFonts w:ascii="Cambria" w:eastAsia="Times New Roman" w:hAnsi="Cambria" w:cs="Times New Roman"/>
      <w:b/>
      <w:bCs/>
      <w:sz w:val="26"/>
      <w:szCs w:val="26"/>
      <w:lang w:eastAsia="en-US"/>
    </w:rPr>
  </w:style>
  <w:style w:type="character" w:customStyle="1" w:styleId="berschrift4Zchn">
    <w:name w:val="Überschrift 4 Zchn"/>
    <w:link w:val="berschrift4"/>
    <w:uiPriority w:val="9"/>
    <w:rsid w:val="00E85845"/>
    <w:rPr>
      <w:rFonts w:ascii="Calibri" w:eastAsia="Times New Roman" w:hAnsi="Calibri" w:cs="Times New Roman"/>
      <w:b/>
      <w:bCs/>
      <w:sz w:val="28"/>
      <w:szCs w:val="28"/>
      <w:lang w:eastAsia="en-US"/>
    </w:rPr>
  </w:style>
  <w:style w:type="character" w:customStyle="1" w:styleId="berschrift5Zchn">
    <w:name w:val="Überschrift 5 Zchn"/>
    <w:link w:val="berschrift5"/>
    <w:uiPriority w:val="9"/>
    <w:rsid w:val="00E85845"/>
    <w:rPr>
      <w:rFonts w:ascii="Calibri" w:eastAsia="Times New Roman" w:hAnsi="Calibri" w:cs="Times New Roman"/>
      <w:b/>
      <w:bCs/>
      <w:i/>
      <w:iCs/>
      <w:sz w:val="26"/>
      <w:szCs w:val="26"/>
      <w:lang w:eastAsia="en-US"/>
    </w:rPr>
  </w:style>
  <w:style w:type="character" w:customStyle="1" w:styleId="berschrift6Zchn">
    <w:name w:val="Überschrift 6 Zchn"/>
    <w:link w:val="berschrift6"/>
    <w:uiPriority w:val="9"/>
    <w:rsid w:val="00E85845"/>
    <w:rPr>
      <w:rFonts w:ascii="Calibri" w:eastAsia="Times New Roman" w:hAnsi="Calibri" w:cs="Times New Roman"/>
      <w:b/>
      <w:bCs/>
      <w:sz w:val="22"/>
      <w:szCs w:val="22"/>
      <w:lang w:eastAsia="en-US"/>
    </w:rPr>
  </w:style>
  <w:style w:type="character" w:customStyle="1" w:styleId="berschrift7Zchn">
    <w:name w:val="Überschrift 7 Zchn"/>
    <w:link w:val="berschrift7"/>
    <w:uiPriority w:val="9"/>
    <w:rsid w:val="00E85845"/>
    <w:rPr>
      <w:rFonts w:ascii="Calibri" w:eastAsia="Times New Roman" w:hAnsi="Calibri" w:cs="Times New Roman"/>
      <w:sz w:val="24"/>
      <w:szCs w:val="24"/>
      <w:lang w:eastAsia="en-US"/>
    </w:rPr>
  </w:style>
  <w:style w:type="character" w:customStyle="1" w:styleId="berschrift8Zchn">
    <w:name w:val="Überschrift 8 Zchn"/>
    <w:link w:val="berschrift8"/>
    <w:uiPriority w:val="9"/>
    <w:rsid w:val="00E85845"/>
    <w:rPr>
      <w:rFonts w:ascii="Calibri" w:eastAsia="Times New Roman" w:hAnsi="Calibri" w:cs="Times New Roman"/>
      <w:i/>
      <w:iCs/>
      <w:sz w:val="24"/>
      <w:szCs w:val="24"/>
      <w:lang w:eastAsia="en-US"/>
    </w:rPr>
  </w:style>
  <w:style w:type="character" w:customStyle="1" w:styleId="berschrift9Zchn">
    <w:name w:val="Überschrift 9 Zchn"/>
    <w:link w:val="berschrift9"/>
    <w:uiPriority w:val="9"/>
    <w:rsid w:val="00E85845"/>
    <w:rPr>
      <w:rFonts w:ascii="Cambria" w:eastAsia="Times New Roman" w:hAnsi="Cambria" w:cs="Times New Roman"/>
      <w:sz w:val="22"/>
      <w:szCs w:val="22"/>
      <w:lang w:eastAsia="en-US"/>
    </w:rPr>
  </w:style>
  <w:style w:type="paragraph" w:styleId="Verzeichnis2">
    <w:name w:val="toc 2"/>
    <w:basedOn w:val="Standard"/>
    <w:next w:val="Standard"/>
    <w:autoRedefine/>
    <w:uiPriority w:val="39"/>
    <w:unhideWhenUsed/>
    <w:rsid w:val="001F4978"/>
    <w:pPr>
      <w:ind w:left="220"/>
    </w:pPr>
  </w:style>
  <w:style w:type="paragraph" w:styleId="Sprechblasentext">
    <w:name w:val="Balloon Text"/>
    <w:basedOn w:val="Standard"/>
    <w:link w:val="SprechblasentextZchn"/>
    <w:uiPriority w:val="99"/>
    <w:semiHidden/>
    <w:unhideWhenUsed/>
    <w:rsid w:val="001F4978"/>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1F4978"/>
    <w:rPr>
      <w:rFonts w:ascii="Tahoma" w:hAnsi="Tahoma" w:cs="Tahoma"/>
      <w:sz w:val="16"/>
      <w:szCs w:val="16"/>
      <w:lang w:eastAsia="en-US"/>
    </w:rPr>
  </w:style>
  <w:style w:type="character" w:styleId="HTMLAkronym">
    <w:name w:val="HTML Acronym"/>
    <w:uiPriority w:val="99"/>
    <w:semiHidden/>
    <w:unhideWhenUsed/>
    <w:rsid w:val="003046EB"/>
  </w:style>
  <w:style w:type="character" w:styleId="Kommentarzeichen">
    <w:name w:val="annotation reference"/>
    <w:basedOn w:val="Absatz-Standardschriftart"/>
    <w:uiPriority w:val="99"/>
    <w:semiHidden/>
    <w:unhideWhenUsed/>
    <w:rsid w:val="002E291D"/>
    <w:rPr>
      <w:sz w:val="16"/>
      <w:szCs w:val="16"/>
    </w:rPr>
  </w:style>
  <w:style w:type="paragraph" w:styleId="Kommentartext">
    <w:name w:val="annotation text"/>
    <w:basedOn w:val="Standard"/>
    <w:link w:val="KommentartextZchn"/>
    <w:uiPriority w:val="99"/>
    <w:semiHidden/>
    <w:unhideWhenUsed/>
    <w:rsid w:val="002E291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E291D"/>
    <w:rPr>
      <w:lang w:eastAsia="en-US"/>
    </w:rPr>
  </w:style>
  <w:style w:type="paragraph" w:styleId="Kommentarthema">
    <w:name w:val="annotation subject"/>
    <w:basedOn w:val="Kommentartext"/>
    <w:next w:val="Kommentartext"/>
    <w:link w:val="KommentarthemaZchn"/>
    <w:uiPriority w:val="99"/>
    <w:semiHidden/>
    <w:unhideWhenUsed/>
    <w:rsid w:val="002E291D"/>
    <w:rPr>
      <w:b/>
      <w:bCs/>
    </w:rPr>
  </w:style>
  <w:style w:type="character" w:customStyle="1" w:styleId="KommentarthemaZchn">
    <w:name w:val="Kommentarthema Zchn"/>
    <w:basedOn w:val="KommentartextZchn"/>
    <w:link w:val="Kommentarthema"/>
    <w:uiPriority w:val="99"/>
    <w:semiHidden/>
    <w:rsid w:val="002E291D"/>
    <w:rPr>
      <w:b/>
      <w:bCs/>
      <w:lang w:eastAsia="en-US"/>
    </w:rPr>
  </w:style>
  <w:style w:type="paragraph" w:styleId="Listenabsatz">
    <w:name w:val="List Paragraph"/>
    <w:basedOn w:val="Standard"/>
    <w:uiPriority w:val="34"/>
    <w:qFormat/>
    <w:rsid w:val="004015EA"/>
    <w:pPr>
      <w:ind w:left="720"/>
      <w:contextualSpacing/>
    </w:pPr>
  </w:style>
  <w:style w:type="paragraph" w:styleId="Beschriftung">
    <w:name w:val="caption"/>
    <w:basedOn w:val="Standard"/>
    <w:next w:val="Standard"/>
    <w:autoRedefine/>
    <w:rsid w:val="00D57A45"/>
    <w:pPr>
      <w:framePr w:wrap="notBeside" w:vAnchor="text" w:hAnchor="text" w:y="1"/>
      <w:spacing w:before="120" w:after="240" w:line="240" w:lineRule="auto"/>
    </w:pPr>
    <w:rPr>
      <w:rFonts w:ascii="Helvetica" w:eastAsia="MS Mincho" w:hAnsi="Helvetica"/>
      <w:bCs/>
      <w:i/>
      <w:sz w:val="20"/>
      <w:szCs w:val="16"/>
      <w:lang w:eastAsia="ja-JP"/>
    </w:rPr>
  </w:style>
  <w:style w:type="character" w:styleId="Platzhaltertext">
    <w:name w:val="Placeholder Text"/>
    <w:basedOn w:val="Absatz-Standardschriftart"/>
    <w:uiPriority w:val="99"/>
    <w:semiHidden/>
    <w:rsid w:val="00D57A45"/>
    <w:rPr>
      <w:color w:val="808080"/>
    </w:rPr>
  </w:style>
  <w:style w:type="numbering" w:customStyle="1" w:styleId="FormatvorlageAufgezhltMitGliederung11pt">
    <w:name w:val="Formatvorlage Aufgezählt + Mit Gliederung 11 pt"/>
    <w:basedOn w:val="KeineListe"/>
    <w:rsid w:val="00D57A45"/>
    <w:pPr>
      <w:numPr>
        <w:numId w:val="14"/>
      </w:numPr>
    </w:pPr>
  </w:style>
  <w:style w:type="paragraph" w:customStyle="1" w:styleId="ITaCS-NormalerText">
    <w:name w:val="ITaCS-Normaler Text"/>
    <w:basedOn w:val="Standard"/>
    <w:link w:val="ITaCS-NormalerTextChar"/>
    <w:qFormat/>
    <w:rsid w:val="00D57A45"/>
    <w:pPr>
      <w:spacing w:before="180" w:after="60" w:line="300" w:lineRule="auto"/>
    </w:pPr>
    <w:rPr>
      <w:rFonts w:ascii="Helvetica" w:eastAsia="MS Mincho" w:hAnsi="Helvetica"/>
      <w:szCs w:val="24"/>
      <w:lang w:eastAsia="de-DE"/>
    </w:rPr>
  </w:style>
  <w:style w:type="character" w:customStyle="1" w:styleId="ITaCS-NormalerTextChar">
    <w:name w:val="ITaCS-Normaler Text Char"/>
    <w:basedOn w:val="Absatz-Standardschriftart"/>
    <w:link w:val="ITaCS-NormalerText"/>
    <w:rsid w:val="00D57A45"/>
    <w:rPr>
      <w:rFonts w:ascii="Helvetica" w:eastAsia="MS Mincho" w:hAnsi="Helvetica"/>
      <w:sz w:val="22"/>
      <w:szCs w:val="24"/>
    </w:rPr>
  </w:style>
  <w:style w:type="paragraph" w:customStyle="1" w:styleId="ITaCS-TableText">
    <w:name w:val="ITaCS - Table Text"/>
    <w:basedOn w:val="Standard"/>
    <w:link w:val="ITaCS-TableTextChar"/>
    <w:qFormat/>
    <w:rsid w:val="00187E05"/>
    <w:pPr>
      <w:spacing w:before="60" w:after="60" w:line="264" w:lineRule="auto"/>
    </w:pPr>
    <w:rPr>
      <w:rFonts w:ascii="Helvetica" w:eastAsia="Times New Roman" w:hAnsi="Helvetica"/>
      <w:sz w:val="20"/>
      <w:szCs w:val="20"/>
      <w:lang w:eastAsia="de-DE"/>
    </w:rPr>
  </w:style>
  <w:style w:type="table" w:styleId="Tabellendesign">
    <w:name w:val="Table Theme"/>
    <w:basedOn w:val="NormaleTabelle"/>
    <w:rsid w:val="00187E0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TaCS-TableTextChar">
    <w:name w:val="ITaCS - Table Text Char"/>
    <w:basedOn w:val="Absatz-Standardschriftart"/>
    <w:link w:val="ITaCS-TableText"/>
    <w:rsid w:val="00187E05"/>
    <w:rPr>
      <w:rFonts w:ascii="Helvetica" w:eastAsia="Times New Roman" w:hAnsi="Helvetica"/>
    </w:rPr>
  </w:style>
  <w:style w:type="paragraph" w:customStyle="1" w:styleId="Tabellenberschrift">
    <w:name w:val="Tabellenüberschrift"/>
    <w:basedOn w:val="Standard"/>
    <w:rsid w:val="00803B40"/>
    <w:pPr>
      <w:spacing w:before="100" w:beforeAutospacing="1" w:after="100" w:afterAutospacing="1" w:line="240" w:lineRule="auto"/>
    </w:pPr>
    <w:rPr>
      <w:rFonts w:ascii="Arial" w:eastAsia="Times New Roman" w:hAnsi="Arial"/>
      <w:b/>
      <w:color w:val="FFFFFF"/>
      <w:sz w:val="24"/>
      <w:szCs w:val="24"/>
    </w:rPr>
  </w:style>
  <w:style w:type="paragraph" w:customStyle="1" w:styleId="Tabellentext">
    <w:name w:val="Tabellentext"/>
    <w:basedOn w:val="Standard"/>
    <w:rsid w:val="00803B40"/>
    <w:pPr>
      <w:spacing w:before="100" w:beforeAutospacing="1" w:after="100" w:afterAutospacing="1" w:line="240" w:lineRule="auto"/>
    </w:pPr>
    <w:rPr>
      <w:rFonts w:ascii="Arial" w:eastAsia="Times New Roman" w:hAnsi="Arial"/>
      <w:sz w:val="24"/>
      <w:szCs w:val="24"/>
    </w:rPr>
  </w:style>
  <w:style w:type="table" w:styleId="Tabellenraster">
    <w:name w:val="Table Grid"/>
    <w:basedOn w:val="NormaleTabelle"/>
    <w:rsid w:val="00803B40"/>
    <w:pPr>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NormalEbene3">
    <w:name w:val="Normal Ebene 3"/>
    <w:basedOn w:val="Standard"/>
    <w:link w:val="NormalEbene3Char"/>
    <w:rsid w:val="00803B40"/>
    <w:pPr>
      <w:spacing w:after="0" w:line="240" w:lineRule="auto"/>
      <w:ind w:left="567"/>
      <w:jc w:val="both"/>
    </w:pPr>
    <w:rPr>
      <w:rFonts w:ascii="Arial" w:eastAsia="Times New Roman" w:hAnsi="Arial"/>
      <w:sz w:val="24"/>
      <w:szCs w:val="24"/>
    </w:rPr>
  </w:style>
  <w:style w:type="paragraph" w:customStyle="1" w:styleId="NormalEbene2">
    <w:name w:val="Normal Ebene 2"/>
    <w:basedOn w:val="Standard"/>
    <w:rsid w:val="00803B40"/>
    <w:pPr>
      <w:spacing w:after="0" w:line="240" w:lineRule="auto"/>
      <w:ind w:left="284"/>
      <w:jc w:val="both"/>
    </w:pPr>
    <w:rPr>
      <w:rFonts w:ascii="Arial" w:eastAsia="Times New Roman" w:hAnsi="Arial"/>
      <w:sz w:val="24"/>
      <w:szCs w:val="24"/>
    </w:rPr>
  </w:style>
  <w:style w:type="character" w:customStyle="1" w:styleId="NormalEbene3Char">
    <w:name w:val="Normal Ebene 3 Char"/>
    <w:basedOn w:val="Absatz-Standardschriftart"/>
    <w:link w:val="NormalEbene3"/>
    <w:rsid w:val="00803B40"/>
    <w:rPr>
      <w:rFonts w:ascii="Arial" w:eastAsia="Times New Roman" w:hAnsi="Arial"/>
      <w:sz w:val="24"/>
      <w:szCs w:val="24"/>
      <w:lang w:eastAsia="en-US"/>
    </w:rPr>
  </w:style>
  <w:style w:type="paragraph" w:customStyle="1" w:styleId="NumberedEbene3">
    <w:name w:val="Numbered Ebene 3"/>
    <w:basedOn w:val="NormalEbene3"/>
    <w:rsid w:val="00803B40"/>
    <w:pPr>
      <w:numPr>
        <w:numId w:val="16"/>
      </w:numPr>
      <w:tabs>
        <w:tab w:val="clear" w:pos="360"/>
        <w:tab w:val="left" w:pos="567"/>
      </w:tabs>
      <w:ind w:left="432" w:hanging="432"/>
    </w:pPr>
  </w:style>
  <w:style w:type="paragraph" w:customStyle="1" w:styleId="NumberedEbene2">
    <w:name w:val="Numbered Ebene 2"/>
    <w:basedOn w:val="NormalEbene2"/>
    <w:rsid w:val="00803B40"/>
    <w:pPr>
      <w:numPr>
        <w:numId w:val="18"/>
      </w:numPr>
      <w:tabs>
        <w:tab w:val="left" w:pos="284"/>
      </w:tabs>
    </w:pPr>
  </w:style>
  <w:style w:type="paragraph" w:styleId="Funotentext">
    <w:name w:val="footnote text"/>
    <w:basedOn w:val="Standard"/>
    <w:link w:val="FunotentextZchn"/>
    <w:uiPriority w:val="99"/>
    <w:unhideWhenUsed/>
    <w:rsid w:val="00776112"/>
    <w:pPr>
      <w:spacing w:after="0" w:line="240" w:lineRule="auto"/>
    </w:pPr>
    <w:rPr>
      <w:sz w:val="24"/>
      <w:szCs w:val="24"/>
    </w:rPr>
  </w:style>
  <w:style w:type="character" w:customStyle="1" w:styleId="FunotentextZchn">
    <w:name w:val="Fußnotentext Zchn"/>
    <w:basedOn w:val="Absatz-Standardschriftart"/>
    <w:link w:val="Funotentext"/>
    <w:uiPriority w:val="99"/>
    <w:rsid w:val="00776112"/>
    <w:rPr>
      <w:sz w:val="24"/>
      <w:szCs w:val="24"/>
      <w:lang w:eastAsia="en-US"/>
    </w:rPr>
  </w:style>
  <w:style w:type="character" w:styleId="Funotenzeichen">
    <w:name w:val="footnote reference"/>
    <w:basedOn w:val="Absatz-Standardschriftart"/>
    <w:uiPriority w:val="99"/>
    <w:unhideWhenUsed/>
    <w:rsid w:val="007761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de.wikipedia.org/wiki/Fotokopie" TargetMode="External"/><Relationship Id="rId20" Type="http://schemas.openxmlformats.org/officeDocument/2006/relationships/hyperlink" Target="https://de.wikipedia.org/wiki/Umsatzsteuergesetz" TargetMode="External"/><Relationship Id="rId21" Type="http://schemas.openxmlformats.org/officeDocument/2006/relationships/hyperlink" Target="https://de.wikipedia.org/wiki/Gesellschaftervertrag" TargetMode="External"/><Relationship Id="rId22" Type="http://schemas.openxmlformats.org/officeDocument/2006/relationships/hyperlink" Target="https://de.wikipedia.org/wiki/Patent" TargetMode="External"/><Relationship Id="rId23" Type="http://schemas.openxmlformats.org/officeDocument/2006/relationships/hyperlink" Target="https://de.wikipedia.org/wiki/Personalakte" TargetMode="External"/><Relationship Id="rId24" Type="http://schemas.openxmlformats.org/officeDocument/2006/relationships/header" Target="header1.xml"/><Relationship Id="rId25" Type="http://schemas.openxmlformats.org/officeDocument/2006/relationships/footer" Target="footer1.xml"/><Relationship Id="rId26" Type="http://schemas.openxmlformats.org/officeDocument/2006/relationships/fontTable" Target="fontTable.xml"/><Relationship Id="rId27" Type="http://schemas.openxmlformats.org/officeDocument/2006/relationships/glossaryDocument" Target="glossary/document.xml"/><Relationship Id="rId28" Type="http://schemas.openxmlformats.org/officeDocument/2006/relationships/theme" Target="theme/theme1.xml"/><Relationship Id="rId10" Type="http://schemas.openxmlformats.org/officeDocument/2006/relationships/hyperlink" Target="https://de.wikipedia.org/wiki/Handelsbuch" TargetMode="External"/><Relationship Id="rId11" Type="http://schemas.openxmlformats.org/officeDocument/2006/relationships/hyperlink" Target="https://de.wikipedia.org/wiki/Inventar" TargetMode="External"/><Relationship Id="rId12" Type="http://schemas.openxmlformats.org/officeDocument/2006/relationships/hyperlink" Target="https://de.wikipedia.org/wiki/Er%C3%B6ffnungsbilanz" TargetMode="External"/><Relationship Id="rId13" Type="http://schemas.openxmlformats.org/officeDocument/2006/relationships/hyperlink" Target="https://de.wikipedia.org/wiki/Jahresabschluss" TargetMode="External"/><Relationship Id="rId14" Type="http://schemas.openxmlformats.org/officeDocument/2006/relationships/hyperlink" Target="http://www.gesetze-im-internet.de/hgb/__325.html" TargetMode="External"/><Relationship Id="rId15" Type="http://schemas.openxmlformats.org/officeDocument/2006/relationships/hyperlink" Target="https://de.wikipedia.org/wiki/Lagebericht" TargetMode="External"/><Relationship Id="rId16" Type="http://schemas.openxmlformats.org/officeDocument/2006/relationships/hyperlink" Target="https://de.wikipedia.org/wiki/Arbeitsanweisung" TargetMode="External"/><Relationship Id="rId17" Type="http://schemas.openxmlformats.org/officeDocument/2006/relationships/hyperlink" Target="https://de.wikipedia.org/wiki/Buchungsbeleg" TargetMode="External"/><Relationship Id="rId18" Type="http://schemas.openxmlformats.org/officeDocument/2006/relationships/hyperlink" Target="http://www.gesetze-im-internet.de/hgb/__238.html" TargetMode="External"/><Relationship Id="rId19" Type="http://schemas.openxmlformats.org/officeDocument/2006/relationships/hyperlink" Target="http://www.gesetze-im-internet.de/ustg_1980/__14b.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de.wikipedia.org/wiki/Handelsbrie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de.wikipedia.org/wiki/Aufbewahrungsfris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E5F4C1FFCB75943BBFE19B1C75A19C0"/>
        <w:category>
          <w:name w:val="Allgemein"/>
          <w:gallery w:val="placeholder"/>
        </w:category>
        <w:types>
          <w:type w:val="bbPlcHdr"/>
        </w:types>
        <w:behaviors>
          <w:behavior w:val="content"/>
        </w:behaviors>
        <w:guid w:val="{0DD56F8F-1EF1-E94F-8D47-11A906EE7C0D}"/>
      </w:docPartPr>
      <w:docPartBody>
        <w:p w:rsidR="00E352D9" w:rsidRDefault="00913C58" w:rsidP="00913C58">
          <w:pPr>
            <w:pStyle w:val="5E5F4C1FFCB75943BBFE19B1C75A19C0"/>
          </w:pPr>
          <w:r w:rsidRPr="00A519BF">
            <w:rPr>
              <w:rStyle w:val="Platzhalt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Arial Unicode MS">
    <w:charset w:val="80"/>
    <w:family w:val="swiss"/>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MS Mincho">
    <w:panose1 w:val="02020609040205080304"/>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C58"/>
    <w:rsid w:val="005F6B31"/>
    <w:rsid w:val="00913C58"/>
    <w:rsid w:val="00E352D9"/>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13C58"/>
    <w:rPr>
      <w:color w:val="808080"/>
    </w:rPr>
  </w:style>
  <w:style w:type="paragraph" w:customStyle="1" w:styleId="5E5F4C1FFCB75943BBFE19B1C75A19C0">
    <w:name w:val="5E5F4C1FFCB75943BBFE19B1C75A19C0"/>
    <w:rsid w:val="00913C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2CC0C-BE3A-B942-A343-C1F6C7E36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2866</Words>
  <Characters>18060</Characters>
  <Application>Microsoft Macintosh Word</Application>
  <DocSecurity>0</DocSecurity>
  <Lines>150</Lines>
  <Paragraphs>41</Paragraphs>
  <ScaleCrop>false</ScaleCrop>
  <HeadingPairs>
    <vt:vector size="2" baseType="variant">
      <vt:variant>
        <vt:lpstr>Titel</vt:lpstr>
      </vt:variant>
      <vt:variant>
        <vt:i4>1</vt:i4>
      </vt:variant>
    </vt:vector>
  </HeadingPairs>
  <TitlesOfParts>
    <vt:vector size="1" baseType="lpstr">
      <vt:lpstr>Vertragsergänzung IT-Sicherheit</vt:lpstr>
    </vt:vector>
  </TitlesOfParts>
  <Company>DIHK</Company>
  <LinksUpToDate>false</LinksUpToDate>
  <CharactersWithSpaces>20885</CharactersWithSpaces>
  <SharedDoc>false</SharedDoc>
  <HLinks>
    <vt:vector size="54" baseType="variant">
      <vt:variant>
        <vt:i4>1769526</vt:i4>
      </vt:variant>
      <vt:variant>
        <vt:i4>50</vt:i4>
      </vt:variant>
      <vt:variant>
        <vt:i4>0</vt:i4>
      </vt:variant>
      <vt:variant>
        <vt:i4>5</vt:i4>
      </vt:variant>
      <vt:variant>
        <vt:lpwstr/>
      </vt:variant>
      <vt:variant>
        <vt:lpwstr>_Toc416866233</vt:lpwstr>
      </vt:variant>
      <vt:variant>
        <vt:i4>1769526</vt:i4>
      </vt:variant>
      <vt:variant>
        <vt:i4>44</vt:i4>
      </vt:variant>
      <vt:variant>
        <vt:i4>0</vt:i4>
      </vt:variant>
      <vt:variant>
        <vt:i4>5</vt:i4>
      </vt:variant>
      <vt:variant>
        <vt:lpwstr/>
      </vt:variant>
      <vt:variant>
        <vt:lpwstr>_Toc416866232</vt:lpwstr>
      </vt:variant>
      <vt:variant>
        <vt:i4>1769526</vt:i4>
      </vt:variant>
      <vt:variant>
        <vt:i4>38</vt:i4>
      </vt:variant>
      <vt:variant>
        <vt:i4>0</vt:i4>
      </vt:variant>
      <vt:variant>
        <vt:i4>5</vt:i4>
      </vt:variant>
      <vt:variant>
        <vt:lpwstr/>
      </vt:variant>
      <vt:variant>
        <vt:lpwstr>_Toc416866231</vt:lpwstr>
      </vt:variant>
      <vt:variant>
        <vt:i4>1769526</vt:i4>
      </vt:variant>
      <vt:variant>
        <vt:i4>32</vt:i4>
      </vt:variant>
      <vt:variant>
        <vt:i4>0</vt:i4>
      </vt:variant>
      <vt:variant>
        <vt:i4>5</vt:i4>
      </vt:variant>
      <vt:variant>
        <vt:lpwstr/>
      </vt:variant>
      <vt:variant>
        <vt:lpwstr>_Toc416866230</vt:lpwstr>
      </vt:variant>
      <vt:variant>
        <vt:i4>1703990</vt:i4>
      </vt:variant>
      <vt:variant>
        <vt:i4>26</vt:i4>
      </vt:variant>
      <vt:variant>
        <vt:i4>0</vt:i4>
      </vt:variant>
      <vt:variant>
        <vt:i4>5</vt:i4>
      </vt:variant>
      <vt:variant>
        <vt:lpwstr/>
      </vt:variant>
      <vt:variant>
        <vt:lpwstr>_Toc416866229</vt:lpwstr>
      </vt:variant>
      <vt:variant>
        <vt:i4>1703990</vt:i4>
      </vt:variant>
      <vt:variant>
        <vt:i4>20</vt:i4>
      </vt:variant>
      <vt:variant>
        <vt:i4>0</vt:i4>
      </vt:variant>
      <vt:variant>
        <vt:i4>5</vt:i4>
      </vt:variant>
      <vt:variant>
        <vt:lpwstr/>
      </vt:variant>
      <vt:variant>
        <vt:lpwstr>_Toc416866228</vt:lpwstr>
      </vt:variant>
      <vt:variant>
        <vt:i4>1703990</vt:i4>
      </vt:variant>
      <vt:variant>
        <vt:i4>14</vt:i4>
      </vt:variant>
      <vt:variant>
        <vt:i4>0</vt:i4>
      </vt:variant>
      <vt:variant>
        <vt:i4>5</vt:i4>
      </vt:variant>
      <vt:variant>
        <vt:lpwstr/>
      </vt:variant>
      <vt:variant>
        <vt:lpwstr>_Toc416866227</vt:lpwstr>
      </vt:variant>
      <vt:variant>
        <vt:i4>1703990</vt:i4>
      </vt:variant>
      <vt:variant>
        <vt:i4>8</vt:i4>
      </vt:variant>
      <vt:variant>
        <vt:i4>0</vt:i4>
      </vt:variant>
      <vt:variant>
        <vt:i4>5</vt:i4>
      </vt:variant>
      <vt:variant>
        <vt:lpwstr/>
      </vt:variant>
      <vt:variant>
        <vt:lpwstr>_Toc416866226</vt:lpwstr>
      </vt:variant>
      <vt:variant>
        <vt:i4>1703990</vt:i4>
      </vt:variant>
      <vt:variant>
        <vt:i4>2</vt:i4>
      </vt:variant>
      <vt:variant>
        <vt:i4>0</vt:i4>
      </vt:variant>
      <vt:variant>
        <vt:i4>5</vt:i4>
      </vt:variant>
      <vt:variant>
        <vt:lpwstr/>
      </vt:variant>
      <vt:variant>
        <vt:lpwstr>_Toc416866225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Vertragsergänzung IT-Sicherheit</dc:title>
  <dc:creator>Lars Dubbert</dc:creator>
  <cp:lastModifiedBy>Sachar Paulus</cp:lastModifiedBy>
  <cp:revision>7</cp:revision>
  <cp:lastPrinted>2015-08-13T07:27:00Z</cp:lastPrinted>
  <dcterms:created xsi:type="dcterms:W3CDTF">2016-04-10T17:07:00Z</dcterms:created>
  <dcterms:modified xsi:type="dcterms:W3CDTF">2016-11-24T20:27:00Z</dcterms:modified>
</cp:coreProperties>
</file>