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0C1333">
      <w:pPr>
        <w:rPr>
          <w:sz w:val="72"/>
          <w:szCs w:val="72"/>
        </w:rPr>
      </w:pPr>
      <w:r w:rsidRPr="003A3B1C">
        <w:rPr>
          <w:sz w:val="72"/>
          <w:szCs w:val="72"/>
        </w:rPr>
        <w:t xml:space="preserve">Mustervertrag </w:t>
      </w:r>
    </w:p>
    <w:p w14:paraId="66ABC790" w14:textId="77777777" w:rsidR="00612DCE" w:rsidRPr="003A3B1C" w:rsidRDefault="00612DCE" w:rsidP="000C1333">
      <w:pPr>
        <w:rPr>
          <w:sz w:val="72"/>
          <w:szCs w:val="72"/>
        </w:rPr>
      </w:pPr>
    </w:p>
    <w:p w14:paraId="6713CB22" w14:textId="77777777" w:rsidR="00EE6621" w:rsidRPr="003A3B1C" w:rsidRDefault="00EE6621" w:rsidP="000C1333">
      <w:pPr>
        <w:rPr>
          <w:sz w:val="72"/>
          <w:szCs w:val="72"/>
        </w:rPr>
      </w:pPr>
      <w:r w:rsidRPr="003A3B1C">
        <w:rPr>
          <w:sz w:val="72"/>
          <w:szCs w:val="72"/>
        </w:rPr>
        <w:t>Allgemeine</w:t>
      </w:r>
      <w:r w:rsidR="00612DCE" w:rsidRPr="003A3B1C">
        <w:rPr>
          <w:sz w:val="72"/>
          <w:szCs w:val="72"/>
        </w:rPr>
        <w:t xml:space="preserve"> </w:t>
      </w:r>
      <w:r w:rsidRPr="003A3B1C">
        <w:rPr>
          <w:sz w:val="72"/>
          <w:szCs w:val="72"/>
        </w:rPr>
        <w:t>Verkaufsbedingungen</w:t>
      </w:r>
      <w:r w:rsidR="00612DCE" w:rsidRPr="003A3B1C">
        <w:rPr>
          <w:sz w:val="72"/>
          <w:szCs w:val="72"/>
        </w:rPr>
        <w:t xml:space="preserve"> </w:t>
      </w:r>
      <w:r w:rsidRPr="003A3B1C">
        <w:rPr>
          <w:sz w:val="72"/>
          <w:szCs w:val="72"/>
        </w:rPr>
        <w:t>(AGB)</w:t>
      </w:r>
    </w:p>
    <w:p w14:paraId="7D64BFCC" w14:textId="77777777" w:rsidR="00EE6621" w:rsidRPr="003A3B1C" w:rsidRDefault="00EE6621" w:rsidP="000C1333">
      <w:pPr>
        <w:rPr>
          <w:sz w:val="72"/>
          <w:szCs w:val="72"/>
        </w:rPr>
      </w:pPr>
    </w:p>
    <w:p w14:paraId="1D1EFD42" w14:textId="77777777" w:rsidR="008506CB" w:rsidRPr="003A3B1C" w:rsidRDefault="008506CB" w:rsidP="000C1333">
      <w:pPr>
        <w:spacing w:line="360" w:lineRule="auto"/>
        <w:rPr>
          <w:sz w:val="40"/>
          <w:szCs w:val="40"/>
        </w:rPr>
      </w:pPr>
      <w:r w:rsidRPr="003A3B1C">
        <w:rPr>
          <w:sz w:val="40"/>
          <w:szCs w:val="40"/>
        </w:rPr>
        <w:t xml:space="preserve">für den </w:t>
      </w:r>
      <w:r w:rsidRPr="003A3B1C">
        <w:rPr>
          <w:sz w:val="40"/>
          <w:szCs w:val="40"/>
          <w:u w:val="single"/>
        </w:rPr>
        <w:t>nicht-kaufmännischen</w:t>
      </w:r>
      <w:r w:rsidRPr="003A3B1C">
        <w:rPr>
          <w:sz w:val="40"/>
          <w:szCs w:val="40"/>
        </w:rPr>
        <w:t xml:space="preserve"> Verkehr</w:t>
      </w:r>
    </w:p>
    <w:p w14:paraId="48E6821A" w14:textId="77777777" w:rsidR="006D32EB" w:rsidRPr="003A3B1C" w:rsidRDefault="008506CB" w:rsidP="000C1333">
      <w:pPr>
        <w:rPr>
          <w:sz w:val="40"/>
          <w:szCs w:val="40"/>
        </w:rPr>
      </w:pPr>
      <w:r w:rsidRPr="003A3B1C">
        <w:rPr>
          <w:sz w:val="40"/>
          <w:szCs w:val="40"/>
        </w:rPr>
        <w:t xml:space="preserve">(Verkäufer ist Unternehmer – </w:t>
      </w:r>
      <w:r w:rsidR="00612DCE" w:rsidRPr="003A3B1C">
        <w:rPr>
          <w:sz w:val="40"/>
          <w:szCs w:val="40"/>
        </w:rPr>
        <w:br/>
      </w:r>
      <w:r w:rsidRPr="003A3B1C">
        <w:rPr>
          <w:sz w:val="40"/>
          <w:szCs w:val="40"/>
        </w:rPr>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1CB7D06A" w14:textId="77777777" w:rsidR="000C1333" w:rsidRDefault="000C1333" w:rsidP="00782FB8"/>
    <w:p w14:paraId="52C336D7" w14:textId="77777777" w:rsidR="000C1333" w:rsidRDefault="000C1333" w:rsidP="00782FB8"/>
    <w:p w14:paraId="261BC91F" w14:textId="77777777" w:rsidR="000C1333" w:rsidRDefault="000C1333" w:rsidP="00782FB8"/>
    <w:p w14:paraId="12FF7D23" w14:textId="77777777" w:rsidR="000C1333" w:rsidRDefault="000C1333" w:rsidP="00782FB8"/>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D56ACC">
      <w:pPr>
        <w:rPr>
          <w:b/>
          <w:sz w:val="28"/>
          <w:szCs w:val="28"/>
        </w:rPr>
      </w:pPr>
      <w:r w:rsidRPr="00BB6BA0">
        <w:rPr>
          <w:b/>
          <w:sz w:val="28"/>
          <w:szCs w:val="28"/>
        </w:rPr>
        <w:lastRenderedPageBreak/>
        <w:t>Vorwort</w:t>
      </w:r>
    </w:p>
    <w:p w14:paraId="4514406C" w14:textId="77777777" w:rsidR="00D56ACC" w:rsidRDefault="00D56ACC" w:rsidP="00D56ACC"/>
    <w:p w14:paraId="34F837B1" w14:textId="6F7E9CC4" w:rsidR="00D56ACC" w:rsidRPr="00BB6BA0" w:rsidRDefault="00D56ACC" w:rsidP="00B81900">
      <w:pPr>
        <w:spacing w:line="360" w:lineRule="auto"/>
        <w:rPr>
          <w:sz w:val="24"/>
          <w:szCs w:val="24"/>
        </w:rPr>
      </w:pPr>
      <w:r w:rsidRPr="00BB6BA0">
        <w:rPr>
          <w:sz w:val="24"/>
          <w:szCs w:val="24"/>
        </w:rPr>
        <w:t>Der Unternehmer schließt im Laufe seiner Geschäftstätigkeit eine Vielzahl von Verträgen ab. Um eine Orientierungshilfe zu bieten, stellen die hessischen Kammern Musterverträge zur Verfügung.</w:t>
      </w:r>
      <w:r w:rsidR="008A15A2" w:rsidRPr="008A15A2">
        <w:t xml:space="preserve"> </w:t>
      </w:r>
    </w:p>
    <w:p w14:paraId="317D4D94" w14:textId="77777777" w:rsidR="00D56ACC" w:rsidRPr="00BB6BA0" w:rsidRDefault="00D56ACC" w:rsidP="00BB6BA0">
      <w:pPr>
        <w:spacing w:line="360" w:lineRule="auto"/>
        <w:rPr>
          <w:sz w:val="24"/>
          <w:szCs w:val="24"/>
        </w:rPr>
      </w:pPr>
    </w:p>
    <w:p w14:paraId="2F15FD29" w14:textId="77777777" w:rsidR="00D56ACC" w:rsidRPr="00BB6BA0" w:rsidRDefault="00D56ACC" w:rsidP="00BB6BA0">
      <w:pPr>
        <w:spacing w:line="360" w:lineRule="auto"/>
        <w:rPr>
          <w:sz w:val="24"/>
          <w:szCs w:val="24"/>
        </w:rPr>
      </w:pPr>
      <w:r w:rsidRPr="00BB6BA0">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AF2A9C">
      <w:pPr>
        <w:spacing w:line="360" w:lineRule="auto"/>
        <w:jc w:val="both"/>
        <w:rPr>
          <w:b/>
        </w:rPr>
      </w:pPr>
      <w:r w:rsidRPr="00BB6BA0">
        <w:rPr>
          <w:b/>
          <w:sz w:val="28"/>
          <w:szCs w:val="28"/>
        </w:rPr>
        <w:t>Hinweis zur Benutzung des Mustervertrages</w:t>
      </w:r>
      <w:r>
        <w:rPr>
          <w:b/>
        </w:rP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5F8FD07A" w14:textId="77777777" w:rsidR="00D56ACC" w:rsidRDefault="00D56ACC" w:rsidP="00D56ACC"/>
    <w:p w14:paraId="2B3DD407" w14:textId="77777777" w:rsidR="00D56ACC" w:rsidRPr="00BB6BA0" w:rsidRDefault="00D56ACC" w:rsidP="00626355">
      <w:pPr>
        <w:pStyle w:val="berschrift1"/>
        <w:jc w:val="both"/>
        <w:rPr>
          <w:sz w:val="24"/>
          <w:szCs w:val="24"/>
        </w:rPr>
      </w:pPr>
      <w:r>
        <w:br w:type="page"/>
      </w:r>
      <w:r w:rsidR="00143E73">
        <w:rPr>
          <w:sz w:val="24"/>
          <w:szCs w:val="24"/>
        </w:rPr>
        <w:lastRenderedPageBreak/>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26355">
      <w:pPr>
        <w:pStyle w:val="Listenabsatz"/>
        <w:numPr>
          <w:ilvl w:val="0"/>
          <w:numId w:val="6"/>
        </w:numPr>
        <w:ind w:left="530"/>
        <w:jc w:val="both"/>
        <w:rPr>
          <w:b/>
          <w:sz w:val="24"/>
          <w:szCs w:val="24"/>
        </w:rPr>
      </w:pPr>
      <w:r w:rsidRPr="00D04337">
        <w:rPr>
          <w:b/>
          <w:sz w:val="24"/>
          <w:szCs w:val="24"/>
        </w:rPr>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26355">
      <w:pPr>
        <w:pStyle w:val="Listenabsatz"/>
        <w:numPr>
          <w:ilvl w:val="0"/>
          <w:numId w:val="6"/>
        </w:numPr>
        <w:ind w:left="587"/>
        <w:jc w:val="both"/>
        <w:rPr>
          <w:b/>
          <w:sz w:val="24"/>
          <w:szCs w:val="24"/>
        </w:rPr>
      </w:pPr>
      <w:r w:rsidRPr="00D04337">
        <w:rPr>
          <w:b/>
          <w:sz w:val="24"/>
          <w:szCs w:val="24"/>
        </w:rPr>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26355">
      <w:pPr>
        <w:pStyle w:val="Listenabsatz"/>
        <w:numPr>
          <w:ilvl w:val="0"/>
          <w:numId w:val="6"/>
        </w:numPr>
        <w:ind w:left="587"/>
        <w:jc w:val="both"/>
        <w:rPr>
          <w:sz w:val="24"/>
          <w:szCs w:val="24"/>
        </w:rPr>
      </w:pPr>
      <w:r w:rsidRPr="004C47DE">
        <w:rPr>
          <w:b/>
          <w:sz w:val="24"/>
          <w:szCs w:val="24"/>
        </w:rPr>
        <w:br w:type="page"/>
      </w:r>
      <w:r w:rsidRPr="004C47DE">
        <w:rPr>
          <w:b/>
          <w:sz w:val="24"/>
          <w:szCs w:val="24"/>
        </w:rPr>
        <w:lastRenderedPageBreak/>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0412DF" w:rsidRDefault="00D56ACC" w:rsidP="00626355">
      <w:pPr>
        <w:pStyle w:val="Listenabsatz"/>
        <w:numPr>
          <w:ilvl w:val="0"/>
          <w:numId w:val="6"/>
        </w:numPr>
        <w:ind w:left="643"/>
        <w:jc w:val="both"/>
        <w:rPr>
          <w:sz w:val="24"/>
          <w:szCs w:val="24"/>
        </w:rPr>
      </w:pPr>
      <w:r w:rsidRPr="000412DF">
        <w:rPr>
          <w:b/>
          <w:sz w:val="24"/>
          <w:szCs w:val="24"/>
        </w:rPr>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7777777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D81A2E">
        <w:rPr>
          <w:sz w:val="24"/>
          <w:szCs w:val="24"/>
        </w:rPr>
        <w:t>Paragraf</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r>
      <w:r w:rsidRPr="00BB6BA0">
        <w:rPr>
          <w:sz w:val="24"/>
          <w:szCs w:val="24"/>
        </w:rPr>
        <w:lastRenderedPageBreak/>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26355">
      <w:pPr>
        <w:pStyle w:val="Listenabsatz"/>
        <w:numPr>
          <w:ilvl w:val="0"/>
          <w:numId w:val="6"/>
        </w:numPr>
        <w:ind w:left="643"/>
        <w:jc w:val="both"/>
        <w:rPr>
          <w:i/>
          <w:sz w:val="24"/>
          <w:szCs w:val="24"/>
        </w:rPr>
      </w:pPr>
      <w:r w:rsidRPr="000412DF">
        <w:rPr>
          <w:b/>
          <w:sz w:val="24"/>
          <w:szCs w:val="24"/>
        </w:rPr>
        <w:t>Gewährleistung und Mängelrüge</w:t>
      </w:r>
    </w:p>
    <w:p w14:paraId="2C51C86F" w14:textId="77777777" w:rsidR="00EE64AA"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p>
    <w:p w14:paraId="625AB487" w14:textId="58830D4F" w:rsidR="008A15A2" w:rsidRDefault="008A15A2" w:rsidP="00EE64AA">
      <w:pPr>
        <w:ind w:left="426"/>
        <w:jc w:val="both"/>
        <w:rPr>
          <w:sz w:val="24"/>
          <w:szCs w:val="24"/>
        </w:rPr>
      </w:pP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lastRenderedPageBreak/>
        <w:t xml:space="preserve">c) nicht der Beschaffenheit einer Probe oder eines Musters entspricht, die oder das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11F0CB34" w14:textId="77777777" w:rsidR="00EE64AA"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p>
    <w:p w14:paraId="77C8E04A" w14:textId="5DB03293" w:rsidR="008A15A2" w:rsidRDefault="008A15A2" w:rsidP="00626355">
      <w:pPr>
        <w:ind w:left="426"/>
        <w:jc w:val="both"/>
        <w:rPr>
          <w:sz w:val="24"/>
          <w:szCs w:val="24"/>
        </w:rPr>
      </w:pPr>
    </w:p>
    <w:p w14:paraId="7C1CC13C" w14:textId="77777777" w:rsidR="00EE64AA"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p>
    <w:p w14:paraId="6288568E" w14:textId="77777777" w:rsidR="00EE64AA" w:rsidRDefault="00EE64AA" w:rsidP="00EE64AA">
      <w:pPr>
        <w:pStyle w:val="Listenabsatz"/>
        <w:ind w:left="426"/>
        <w:jc w:val="both"/>
        <w:rPr>
          <w:sz w:val="24"/>
          <w:szCs w:val="24"/>
        </w:rPr>
      </w:pPr>
    </w:p>
    <w:p w14:paraId="3A313963" w14:textId="77777777" w:rsidR="00EE64AA" w:rsidRDefault="008A15A2" w:rsidP="00EE64AA">
      <w:pPr>
        <w:pStyle w:val="Listenabsatz"/>
        <w:ind w:left="426"/>
        <w:jc w:val="both"/>
        <w:rPr>
          <w:sz w:val="24"/>
          <w:szCs w:val="24"/>
        </w:rPr>
      </w:pPr>
      <w:r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p>
    <w:p w14:paraId="372B7822" w14:textId="0D734D21" w:rsidR="008A15A2" w:rsidRPr="008A15A2" w:rsidRDefault="008A15A2" w:rsidP="00EE64AA">
      <w:pPr>
        <w:pStyle w:val="Listenabsatz"/>
        <w:ind w:left="426"/>
        <w:jc w:val="both"/>
        <w:rPr>
          <w:sz w:val="24"/>
          <w:szCs w:val="24"/>
        </w:rPr>
      </w:pPr>
    </w:p>
    <w:p w14:paraId="21CDDFF1" w14:textId="77777777" w:rsidR="00D80343"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p>
    <w:p w14:paraId="2863C749" w14:textId="7214E602" w:rsidR="008A15A2" w:rsidRDefault="008A15A2" w:rsidP="00D80343">
      <w:pPr>
        <w:ind w:left="426"/>
        <w:jc w:val="both"/>
        <w:rPr>
          <w:sz w:val="24"/>
          <w:szCs w:val="24"/>
        </w:rPr>
      </w:pP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 xml:space="preserve">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w:t>
      </w:r>
      <w:r w:rsidRPr="00947130">
        <w:rPr>
          <w:sz w:val="24"/>
          <w:szCs w:val="24"/>
        </w:rPr>
        <w:lastRenderedPageBreak/>
        <w:t>vorsätzlichen oder grob fahrlässigen Vertragsverletzungen sowie Arglist, unserer gesetzlichen Vertreter oder unserer Erfüllungsgehilfen beruhen. Soweit wir bezüglich der Ware oder Teile derselben eine Beschaffenheits- und/oder 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26C8C32E"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(Hinweis: möglich ist eine Reduzierung auf ein Jahr in AGBs bei gebrauchten Sachen. Bei Baumaterialien – sofern eingebaut – beträgt die Gewährleistungsfrist 5 Jahre, falls die Baumaterialien gebraucht sind</w:t>
      </w:r>
      <w:r w:rsidR="00D80343">
        <w:rPr>
          <w:i/>
          <w:sz w:val="24"/>
          <w:szCs w:val="24"/>
        </w:rPr>
        <w:t>,</w:t>
      </w:r>
      <w:r w:rsidRPr="00C96331">
        <w:rPr>
          <w:i/>
          <w:sz w:val="24"/>
          <w:szCs w:val="24"/>
        </w:rPr>
        <w:t xml:space="preserve">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26355">
      <w:pPr>
        <w:pStyle w:val="Listenabsatz"/>
        <w:numPr>
          <w:ilvl w:val="0"/>
          <w:numId w:val="16"/>
        </w:numPr>
        <w:ind w:left="643"/>
        <w:jc w:val="both"/>
        <w:rPr>
          <w:sz w:val="24"/>
          <w:szCs w:val="24"/>
        </w:rPr>
      </w:pPr>
      <w:r w:rsidRPr="00143E73">
        <w:rPr>
          <w:b/>
          <w:sz w:val="24"/>
          <w:szCs w:val="24"/>
        </w:rPr>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BB6BA0" w:rsidRDefault="00D56ACC" w:rsidP="00626355">
      <w:pPr>
        <w:jc w:val="both"/>
        <w:rPr>
          <w:sz w:val="24"/>
          <w:szCs w:val="24"/>
        </w:rPr>
      </w:pPr>
      <w:r w:rsidRPr="00BB6BA0">
        <w:rPr>
          <w:sz w:val="24"/>
          <w:szCs w:val="24"/>
        </w:rPr>
        <w:br w:type="column"/>
      </w:r>
      <w:r w:rsidRPr="00BB6BA0">
        <w:rPr>
          <w:sz w:val="24"/>
          <w:szCs w:val="24"/>
          <w:u w:val="single"/>
        </w:rPr>
        <w:lastRenderedPageBreak/>
        <w:t>Anhang 1</w:t>
      </w:r>
      <w:r w:rsidRPr="00BB6BA0">
        <w:rPr>
          <w:sz w:val="24"/>
          <w:szCs w:val="24"/>
        </w:rPr>
        <w:t>:</w:t>
      </w:r>
    </w:p>
    <w:p w14:paraId="31B844C5" w14:textId="77777777" w:rsidR="00D56ACC" w:rsidRPr="00BB6BA0" w:rsidRDefault="00D56ACC" w:rsidP="00626355">
      <w:pPr>
        <w:jc w:val="both"/>
        <w:rPr>
          <w:b/>
          <w:sz w:val="24"/>
          <w:szCs w:val="24"/>
        </w:rPr>
      </w:pPr>
      <w:r w:rsidRPr="00BB6BA0">
        <w:rPr>
          <w:b/>
          <w:sz w:val="24"/>
          <w:szCs w:val="24"/>
        </w:rPr>
        <w:t>Anmerkungen</w:t>
      </w:r>
    </w:p>
    <w:p w14:paraId="0532FFB3" w14:textId="77777777" w:rsidR="00947130" w:rsidRDefault="00947130" w:rsidP="00626355">
      <w:pPr>
        <w:jc w:val="both"/>
        <w:rPr>
          <w:b/>
          <w:sz w:val="24"/>
          <w:szCs w:val="24"/>
        </w:rPr>
      </w:pPr>
    </w:p>
    <w:p w14:paraId="10881952" w14:textId="77777777" w:rsidR="00D56ACC" w:rsidRPr="00BB6BA0" w:rsidRDefault="00D56ACC" w:rsidP="00626355">
      <w:pPr>
        <w:jc w:val="both"/>
        <w:rPr>
          <w:sz w:val="24"/>
          <w:szCs w:val="24"/>
        </w:rPr>
      </w:pPr>
      <w:r w:rsidRPr="00BB6BA0">
        <w:rPr>
          <w:b/>
          <w:sz w:val="24"/>
          <w:szCs w:val="24"/>
        </w:rPr>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26355">
      <w:pPr>
        <w:jc w:val="both"/>
        <w:rPr>
          <w:sz w:val="24"/>
          <w:szCs w:val="24"/>
        </w:rPr>
      </w:pPr>
      <w:r w:rsidRPr="00BB6BA0">
        <w:rPr>
          <w:b/>
          <w:sz w:val="24"/>
          <w:szCs w:val="24"/>
        </w:rPr>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26355">
      <w:pPr>
        <w:jc w:val="both"/>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947130" w14:paraId="0D4F5ABF" w14:textId="77777777" w:rsidTr="00C7143E">
        <w:tc>
          <w:tcPr>
            <w:tcW w:w="3070" w:type="dxa"/>
          </w:tcPr>
          <w:p w14:paraId="51A2F4E5" w14:textId="77777777" w:rsidR="00947130" w:rsidRDefault="00947130" w:rsidP="00626355">
            <w:pPr>
              <w:jc w:val="both"/>
              <w:rPr>
                <w:rFonts w:cs="Arial"/>
                <w:sz w:val="24"/>
                <w:szCs w:val="24"/>
              </w:rPr>
            </w:pPr>
            <w:r>
              <w:rPr>
                <w:rFonts w:cs="Arial"/>
                <w:sz w:val="24"/>
                <w:szCs w:val="24"/>
              </w:rPr>
              <w:t>Neu</w:t>
            </w:r>
          </w:p>
        </w:tc>
        <w:tc>
          <w:tcPr>
            <w:tcW w:w="307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6E9CB818" w14:textId="77777777" w:rsidR="00947130" w:rsidRDefault="00947130" w:rsidP="00626355">
            <w:pPr>
              <w:jc w:val="both"/>
              <w:rPr>
                <w:rFonts w:cs="Arial"/>
                <w:sz w:val="24"/>
                <w:szCs w:val="24"/>
              </w:rPr>
            </w:pPr>
            <w:r>
              <w:rPr>
                <w:rFonts w:cs="Arial"/>
                <w:sz w:val="24"/>
                <w:szCs w:val="24"/>
              </w:rPr>
              <w:t>Zwei Jahre</w:t>
            </w:r>
          </w:p>
        </w:tc>
      </w:tr>
      <w:tr w:rsidR="00947130" w14:paraId="0171BE5B" w14:textId="77777777" w:rsidTr="00C7143E">
        <w:tc>
          <w:tcPr>
            <w:tcW w:w="3070" w:type="dxa"/>
          </w:tcPr>
          <w:p w14:paraId="385905C3" w14:textId="77777777" w:rsidR="00947130" w:rsidRDefault="00947130" w:rsidP="00626355">
            <w:pPr>
              <w:jc w:val="both"/>
              <w:rPr>
                <w:rFonts w:cs="Arial"/>
                <w:sz w:val="24"/>
                <w:szCs w:val="24"/>
              </w:rPr>
            </w:pPr>
          </w:p>
        </w:tc>
        <w:tc>
          <w:tcPr>
            <w:tcW w:w="307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C7143E">
        <w:tc>
          <w:tcPr>
            <w:tcW w:w="3070" w:type="dxa"/>
          </w:tcPr>
          <w:p w14:paraId="03A04A8E" w14:textId="77777777" w:rsidR="00947130" w:rsidRDefault="00947130" w:rsidP="00626355">
            <w:pPr>
              <w:jc w:val="both"/>
              <w:rPr>
                <w:rFonts w:cs="Arial"/>
                <w:sz w:val="24"/>
                <w:szCs w:val="24"/>
              </w:rPr>
            </w:pPr>
          </w:p>
        </w:tc>
        <w:tc>
          <w:tcPr>
            <w:tcW w:w="3070" w:type="dxa"/>
          </w:tcPr>
          <w:p w14:paraId="3758E47B" w14:textId="77777777" w:rsidR="00947130" w:rsidRDefault="00947130" w:rsidP="00626355">
            <w:pPr>
              <w:jc w:val="both"/>
              <w:rPr>
                <w:rFonts w:cs="Arial"/>
                <w:sz w:val="24"/>
                <w:szCs w:val="24"/>
              </w:rPr>
            </w:pPr>
          </w:p>
        </w:tc>
        <w:tc>
          <w:tcPr>
            <w:tcW w:w="3071" w:type="dxa"/>
          </w:tcPr>
          <w:p w14:paraId="68421F2D" w14:textId="77777777" w:rsidR="00947130" w:rsidRDefault="00947130" w:rsidP="00626355">
            <w:pPr>
              <w:jc w:val="both"/>
              <w:rPr>
                <w:rFonts w:cs="Arial"/>
                <w:sz w:val="24"/>
                <w:szCs w:val="24"/>
              </w:rPr>
            </w:pPr>
          </w:p>
        </w:tc>
      </w:tr>
      <w:tr w:rsidR="00947130" w14:paraId="0050EB5D" w14:textId="77777777" w:rsidTr="00C7143E">
        <w:tc>
          <w:tcPr>
            <w:tcW w:w="3070" w:type="dxa"/>
          </w:tcPr>
          <w:p w14:paraId="2AA60E8C" w14:textId="77777777" w:rsidR="00947130" w:rsidRDefault="00947130" w:rsidP="00626355">
            <w:pPr>
              <w:jc w:val="both"/>
              <w:rPr>
                <w:rFonts w:cs="Arial"/>
                <w:sz w:val="24"/>
                <w:szCs w:val="24"/>
              </w:rPr>
            </w:pPr>
            <w:r>
              <w:rPr>
                <w:rFonts w:cs="Arial"/>
                <w:sz w:val="24"/>
                <w:szCs w:val="24"/>
              </w:rPr>
              <w:t>Gebraucht</w:t>
            </w:r>
          </w:p>
        </w:tc>
        <w:tc>
          <w:tcPr>
            <w:tcW w:w="307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C7143E">
        <w:tc>
          <w:tcPr>
            <w:tcW w:w="3070" w:type="dxa"/>
          </w:tcPr>
          <w:p w14:paraId="3B61FFDD" w14:textId="77777777" w:rsidR="00947130" w:rsidRDefault="00947130" w:rsidP="00626355">
            <w:pPr>
              <w:jc w:val="both"/>
              <w:rPr>
                <w:rFonts w:cs="Arial"/>
                <w:sz w:val="24"/>
                <w:szCs w:val="24"/>
              </w:rPr>
            </w:pPr>
          </w:p>
        </w:tc>
        <w:tc>
          <w:tcPr>
            <w:tcW w:w="307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26355">
      <w:pPr>
        <w:jc w:val="both"/>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26355">
      <w:pPr>
        <w:jc w:val="both"/>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BB6BA0" w:rsidRDefault="00D56ACC" w:rsidP="00626355">
      <w:pPr>
        <w:pStyle w:val="berschrift1"/>
        <w:jc w:val="both"/>
        <w:rPr>
          <w:sz w:val="24"/>
          <w:szCs w:val="24"/>
        </w:rPr>
      </w:pPr>
      <w:r w:rsidRPr="00BB6BA0">
        <w:rPr>
          <w:sz w:val="24"/>
          <w:szCs w:val="24"/>
        </w:rPr>
        <w:lastRenderedPageBreak/>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BB6BA0" w:rsidRDefault="00D56ACC" w:rsidP="00626355">
      <w:pPr>
        <w:pStyle w:val="berschrift1"/>
        <w:jc w:val="both"/>
        <w:rPr>
          <w:sz w:val="24"/>
          <w:szCs w:val="24"/>
        </w:rPr>
      </w:pPr>
      <w:r w:rsidRPr="00BB6BA0">
        <w:rPr>
          <w:sz w:val="24"/>
          <w:szCs w:val="24"/>
        </w:rPr>
        <w:t>Aufwendungsersatz bei Nacherfüllung</w:t>
      </w:r>
    </w:p>
    <w:p w14:paraId="5332D25A" w14:textId="77777777" w:rsidR="00D56ACC" w:rsidRPr="00BB6BA0" w:rsidRDefault="00C96331" w:rsidP="00626355">
      <w:pPr>
        <w:jc w:val="both"/>
        <w:rPr>
          <w:sz w:val="24"/>
          <w:szCs w:val="24"/>
        </w:rPr>
      </w:pPr>
      <w:r>
        <w:rPr>
          <w:sz w:val="24"/>
          <w:szCs w:val="24"/>
        </w:rPr>
        <w:t>D</w:t>
      </w:r>
      <w:r w:rsidR="00D81A2E">
        <w:rPr>
          <w:sz w:val="24"/>
          <w:szCs w:val="24"/>
        </w:rPr>
        <w:t>er Verkäufer hat gemäß Paragraf</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BB6BA0" w:rsidRDefault="00D56ACC" w:rsidP="00626355">
      <w:pPr>
        <w:pStyle w:val="berschrift1"/>
        <w:jc w:val="both"/>
        <w:rPr>
          <w:sz w:val="24"/>
          <w:szCs w:val="24"/>
        </w:rPr>
      </w:pPr>
      <w:r w:rsidRPr="00BB6BA0">
        <w:rPr>
          <w:sz w:val="24"/>
          <w:szCs w:val="24"/>
        </w:rPr>
        <w:br w:type="page"/>
      </w:r>
      <w:r w:rsidRPr="00BB6BA0">
        <w:rPr>
          <w:sz w:val="24"/>
          <w:szCs w:val="24"/>
        </w:rPr>
        <w:lastRenderedPageBreak/>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26355">
      <w:pPr>
        <w:jc w:val="both"/>
        <w:rPr>
          <w:b/>
          <w:sz w:val="24"/>
          <w:szCs w:val="24"/>
        </w:rPr>
      </w:pPr>
      <w:r w:rsidRPr="006E756E">
        <w:rPr>
          <w:b/>
          <w:sz w:val="24"/>
          <w:szCs w:val="24"/>
        </w:rPr>
        <w:t>Mängelhaftung – Verkäufer muss Aus- und Einbaukosten übernehmen</w:t>
      </w:r>
    </w:p>
    <w:p w14:paraId="2363AE9E" w14:textId="77777777" w:rsidR="00C96331" w:rsidRDefault="006E756E" w:rsidP="00626355">
      <w:pPr>
        <w:jc w:val="both"/>
        <w:rPr>
          <w:sz w:val="24"/>
          <w:szCs w:val="24"/>
        </w:rPr>
      </w:pPr>
      <w:r w:rsidRPr="006E756E">
        <w:rPr>
          <w:sz w:val="24"/>
          <w:szCs w:val="24"/>
        </w:rPr>
        <w:t xml:space="preserve">Das neue Gesetz </w:t>
      </w:r>
      <w:r w:rsidR="00D81A2E">
        <w:rPr>
          <w:sz w:val="24"/>
          <w:szCs w:val="24"/>
        </w:rPr>
        <w:t>zur Nacherfüllung gem. Paragraf</w:t>
      </w:r>
      <w:r w:rsidRPr="006E756E">
        <w:rPr>
          <w:sz w:val="24"/>
          <w:szCs w:val="24"/>
        </w:rPr>
        <w:t xml:space="preserve"> 439 Abs. 3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Paragraf</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BB6BA0" w:rsidRDefault="00D56ACC" w:rsidP="00626355">
      <w:pPr>
        <w:pStyle w:val="berschrift1"/>
        <w:jc w:val="both"/>
        <w:rPr>
          <w:sz w:val="24"/>
          <w:szCs w:val="24"/>
        </w:rPr>
      </w:pPr>
      <w:r w:rsidRPr="00BB6BA0">
        <w:rPr>
          <w:sz w:val="24"/>
          <w:szCs w:val="24"/>
        </w:rPr>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26355">
      <w:pPr>
        <w:pStyle w:val="berschrift5"/>
        <w:jc w:val="both"/>
        <w:rPr>
          <w:sz w:val="24"/>
          <w:szCs w:val="24"/>
        </w:rPr>
      </w:pPr>
      <w:r w:rsidRPr="00BB6BA0">
        <w:rPr>
          <w:sz w:val="24"/>
          <w:szCs w:val="24"/>
        </w:rPr>
        <w:t>Höhe der Verzugszinsen</w:t>
      </w:r>
    </w:p>
    <w:p w14:paraId="747B0FA8" w14:textId="77777777" w:rsidR="00D56ACC" w:rsidRPr="00BB6BA0" w:rsidRDefault="00D56ACC" w:rsidP="00626355">
      <w:pPr>
        <w:jc w:val="both"/>
        <w:rPr>
          <w:sz w:val="24"/>
          <w:szCs w:val="24"/>
        </w:rPr>
      </w:pPr>
      <w:r w:rsidRPr="00BB6BA0">
        <w:rPr>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30148DF4" w14:textId="77777777" w:rsidR="00D56ACC" w:rsidRPr="00BB6BA0" w:rsidRDefault="00D56ACC" w:rsidP="00626355">
      <w:pPr>
        <w:jc w:val="both"/>
        <w:rPr>
          <w:sz w:val="24"/>
          <w:szCs w:val="24"/>
        </w:rPr>
      </w:pPr>
      <w:r w:rsidRPr="00BB6BA0">
        <w:rPr>
          <w:sz w:val="24"/>
          <w:szCs w:val="24"/>
        </w:rPr>
        <w:t xml:space="preserve">Unter </w:t>
      </w:r>
      <w:hyperlink r:id="rId11" w:history="1">
        <w:r w:rsidRPr="00BB6BA0">
          <w:rPr>
            <w:rStyle w:val="Hyperlink"/>
            <w:sz w:val="24"/>
            <w:szCs w:val="24"/>
          </w:rPr>
          <w:t>https://www.bundesbank.de/Redaktion/DE/Standardartikel/Bundesbank/Zinssaetze/basiszinssatz.html</w:t>
        </w:r>
      </w:hyperlink>
      <w:r w:rsidRPr="00BB6BA0">
        <w:rPr>
          <w:sz w:val="24"/>
          <w:szCs w:val="24"/>
        </w:rPr>
        <w:t xml:space="preserve"> können die aktuellen Basiszinssätze ermittelt werden.</w:t>
      </w:r>
    </w:p>
    <w:p w14:paraId="1F968F1A" w14:textId="77777777" w:rsidR="006D32EB" w:rsidRPr="00BB6BA0" w:rsidRDefault="006D32EB" w:rsidP="00626355">
      <w:pPr>
        <w:jc w:val="both"/>
        <w:rPr>
          <w:sz w:val="24"/>
          <w:szCs w:val="24"/>
        </w:rPr>
      </w:pPr>
    </w:p>
    <w:p w14:paraId="6DFC9A88" w14:textId="77777777" w:rsidR="006D32EB" w:rsidRDefault="006D32EB" w:rsidP="00626355">
      <w:pPr>
        <w:jc w:val="both"/>
      </w:pPr>
    </w:p>
    <w:p w14:paraId="0EC13531"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25224DED" w14:textId="77777777" w:rsidR="00612DCE" w:rsidRDefault="00612DCE" w:rsidP="00612DCE">
      <w:r>
        <w:rPr>
          <w:u w:val="single"/>
        </w:rPr>
        <w:lastRenderedPageBreak/>
        <w:t>Anhang</w:t>
      </w:r>
      <w:r>
        <w:t>:</w:t>
      </w:r>
    </w:p>
    <w:p w14:paraId="30144E9F" w14:textId="77777777" w:rsidR="00612DCE" w:rsidRDefault="00612DCE" w:rsidP="00612DCE">
      <w:pPr>
        <w:jc w:val="center"/>
        <w:rPr>
          <w:b/>
        </w:rPr>
      </w:pPr>
      <w:r>
        <w:rPr>
          <w:b/>
        </w:rPr>
        <w:t>Hessische Industrie- und Handelskammern</w:t>
      </w:r>
    </w:p>
    <w:p w14:paraId="1618F538" w14:textId="77777777" w:rsidR="00612DCE" w:rsidRDefault="00612DCE" w:rsidP="00612DCE">
      <w:pPr>
        <w:jc w:val="center"/>
        <w:rPr>
          <w:b/>
        </w:rPr>
      </w:pPr>
    </w:p>
    <w:p w14:paraId="56841572" w14:textId="77777777" w:rsidR="00612DCE" w:rsidRDefault="00612DCE" w:rsidP="00612DCE">
      <w:pPr>
        <w:jc w:val="center"/>
        <w:rPr>
          <w:b/>
        </w:rPr>
      </w:pPr>
    </w:p>
    <w:p w14:paraId="59504E14" w14:textId="77777777" w:rsidR="0034279C" w:rsidRPr="007A6EBE" w:rsidRDefault="0034279C" w:rsidP="0034279C">
      <w:pPr>
        <w:rPr>
          <w:sz w:val="20"/>
        </w:rPr>
      </w:pPr>
      <w:r w:rsidRPr="007A6EBE">
        <w:rPr>
          <w:sz w:val="20"/>
        </w:rPr>
        <w:t>Industrie- und Handelskammer</w:t>
      </w:r>
    </w:p>
    <w:p w14:paraId="78D03865" w14:textId="77777777" w:rsidR="0034279C" w:rsidRPr="007A6EBE" w:rsidRDefault="0034279C" w:rsidP="0034279C">
      <w:pPr>
        <w:rPr>
          <w:b/>
          <w:sz w:val="20"/>
        </w:rPr>
      </w:pPr>
      <w:r w:rsidRPr="007A6EBE">
        <w:rPr>
          <w:b/>
          <w:sz w:val="20"/>
        </w:rPr>
        <w:t>Darmstadt</w:t>
      </w:r>
    </w:p>
    <w:p w14:paraId="67106071" w14:textId="77777777" w:rsidR="0034279C" w:rsidRPr="007A6EBE" w:rsidRDefault="0034279C" w:rsidP="0034279C">
      <w:pPr>
        <w:rPr>
          <w:sz w:val="20"/>
        </w:rPr>
      </w:pPr>
      <w:r w:rsidRPr="007A6EBE">
        <w:rPr>
          <w:sz w:val="20"/>
        </w:rPr>
        <w:t>Rheinstraße 89</w:t>
      </w:r>
    </w:p>
    <w:p w14:paraId="7A50C2A9" w14:textId="77777777" w:rsidR="0034279C" w:rsidRPr="007A6EBE" w:rsidRDefault="0034279C" w:rsidP="0034279C">
      <w:pPr>
        <w:rPr>
          <w:sz w:val="20"/>
        </w:rPr>
      </w:pPr>
      <w:r w:rsidRPr="007A6EBE">
        <w:rPr>
          <w:sz w:val="20"/>
        </w:rPr>
        <w:t>64295 Darmstadt</w:t>
      </w:r>
    </w:p>
    <w:p w14:paraId="0748D804" w14:textId="77777777" w:rsidR="0034279C" w:rsidRPr="007A6EBE" w:rsidRDefault="0034279C" w:rsidP="0034279C">
      <w:pPr>
        <w:rPr>
          <w:sz w:val="20"/>
        </w:rPr>
      </w:pPr>
      <w:r w:rsidRPr="007A6EBE">
        <w:rPr>
          <w:sz w:val="20"/>
        </w:rPr>
        <w:t>Telefon:</w:t>
      </w:r>
      <w:r w:rsidRPr="007A6EBE">
        <w:rPr>
          <w:sz w:val="20"/>
        </w:rPr>
        <w:tab/>
        <w:t>0 61 51 / 8 71 - 0</w:t>
      </w:r>
    </w:p>
    <w:p w14:paraId="1093C66E" w14:textId="77777777" w:rsidR="0034279C" w:rsidRPr="007A6EBE" w:rsidRDefault="0034279C" w:rsidP="0034279C">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10302D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2350278E" w14:textId="77777777" w:rsidR="0034279C" w:rsidRDefault="0034279C" w:rsidP="0034279C">
      <w:pPr>
        <w:rPr>
          <w:rStyle w:val="Hyperlink"/>
          <w:sz w:val="20"/>
        </w:rPr>
      </w:pPr>
    </w:p>
    <w:p w14:paraId="550A484E" w14:textId="77777777" w:rsidR="0034279C" w:rsidRDefault="0034279C" w:rsidP="0034279C">
      <w:pPr>
        <w:rPr>
          <w:rStyle w:val="Hyperlink"/>
          <w:sz w:val="20"/>
        </w:rPr>
      </w:pPr>
    </w:p>
    <w:p w14:paraId="0684AA63" w14:textId="77777777" w:rsidR="0034279C" w:rsidRPr="007A6EBE" w:rsidRDefault="0034279C" w:rsidP="0034279C">
      <w:pPr>
        <w:rPr>
          <w:sz w:val="20"/>
        </w:rPr>
      </w:pPr>
      <w:r w:rsidRPr="007A6EBE">
        <w:rPr>
          <w:sz w:val="20"/>
        </w:rPr>
        <w:t>Industrie- und Handelskammer</w:t>
      </w:r>
    </w:p>
    <w:p w14:paraId="2A894779" w14:textId="77777777" w:rsidR="0034279C" w:rsidRPr="007A6EBE" w:rsidRDefault="0034279C" w:rsidP="0034279C">
      <w:pPr>
        <w:rPr>
          <w:b/>
          <w:sz w:val="20"/>
        </w:rPr>
      </w:pPr>
      <w:r w:rsidRPr="007A6EBE">
        <w:rPr>
          <w:b/>
          <w:sz w:val="20"/>
        </w:rPr>
        <w:t>Frankfurt am Main</w:t>
      </w:r>
    </w:p>
    <w:p w14:paraId="6F87A693" w14:textId="77777777" w:rsidR="0034279C" w:rsidRPr="007A6EBE" w:rsidRDefault="0034279C" w:rsidP="0034279C">
      <w:pPr>
        <w:rPr>
          <w:sz w:val="20"/>
        </w:rPr>
      </w:pPr>
      <w:r w:rsidRPr="007A6EBE">
        <w:rPr>
          <w:sz w:val="20"/>
        </w:rPr>
        <w:t>Börsenplatz 4</w:t>
      </w:r>
    </w:p>
    <w:p w14:paraId="420E4964" w14:textId="77777777" w:rsidR="0034279C" w:rsidRPr="007A6EBE" w:rsidRDefault="0034279C" w:rsidP="0034279C">
      <w:pPr>
        <w:rPr>
          <w:sz w:val="20"/>
        </w:rPr>
      </w:pPr>
      <w:r w:rsidRPr="007A6EBE">
        <w:rPr>
          <w:sz w:val="20"/>
        </w:rPr>
        <w:t>60313 Frankfurt</w:t>
      </w:r>
    </w:p>
    <w:p w14:paraId="39226210" w14:textId="77777777" w:rsidR="0034279C" w:rsidRPr="007A6EBE" w:rsidRDefault="0034279C" w:rsidP="0034279C">
      <w:pPr>
        <w:rPr>
          <w:sz w:val="20"/>
        </w:rPr>
      </w:pPr>
      <w:r w:rsidRPr="007A6EBE">
        <w:rPr>
          <w:sz w:val="20"/>
        </w:rPr>
        <w:t>Telefon:</w:t>
      </w:r>
      <w:r w:rsidRPr="007A6EBE">
        <w:rPr>
          <w:sz w:val="20"/>
        </w:rPr>
        <w:tab/>
        <w:t>0 69 / 21 97 - 0</w:t>
      </w:r>
    </w:p>
    <w:p w14:paraId="7718C664" w14:textId="77777777" w:rsidR="0034279C" w:rsidRPr="007A6EBE" w:rsidRDefault="0034279C" w:rsidP="0034279C">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0C7FEE94" w14:textId="77777777" w:rsidR="0034279C" w:rsidRDefault="0034279C" w:rsidP="0034279C">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22F06E2C" w14:textId="77777777" w:rsidR="0034279C" w:rsidRDefault="0034279C" w:rsidP="0034279C">
      <w:pPr>
        <w:rPr>
          <w:rStyle w:val="Hyperlink"/>
          <w:sz w:val="20"/>
        </w:rPr>
      </w:pPr>
    </w:p>
    <w:p w14:paraId="7CBF4F9E" w14:textId="77777777" w:rsidR="0034279C" w:rsidRDefault="0034279C" w:rsidP="0034279C">
      <w:pPr>
        <w:rPr>
          <w:rStyle w:val="Hyperlink"/>
          <w:sz w:val="20"/>
        </w:rPr>
      </w:pPr>
    </w:p>
    <w:p w14:paraId="525E6518" w14:textId="77777777" w:rsidR="0034279C" w:rsidRPr="007A6EBE" w:rsidRDefault="0034279C" w:rsidP="0034279C">
      <w:pPr>
        <w:rPr>
          <w:sz w:val="20"/>
        </w:rPr>
      </w:pPr>
      <w:r w:rsidRPr="007A6EBE">
        <w:rPr>
          <w:sz w:val="20"/>
        </w:rPr>
        <w:t>Industrie- und Handelskammer</w:t>
      </w:r>
    </w:p>
    <w:p w14:paraId="0A593DF0" w14:textId="77777777" w:rsidR="0034279C" w:rsidRPr="007A6EBE" w:rsidRDefault="0034279C" w:rsidP="0034279C">
      <w:pPr>
        <w:rPr>
          <w:b/>
          <w:sz w:val="20"/>
        </w:rPr>
      </w:pPr>
      <w:r w:rsidRPr="007A6EBE">
        <w:rPr>
          <w:b/>
          <w:sz w:val="20"/>
        </w:rPr>
        <w:t>Gießen-Friedberg</w:t>
      </w:r>
    </w:p>
    <w:p w14:paraId="1CA9C91A" w14:textId="77777777" w:rsidR="0034279C" w:rsidRPr="007A6EBE" w:rsidRDefault="0034279C" w:rsidP="0034279C">
      <w:pPr>
        <w:rPr>
          <w:sz w:val="20"/>
        </w:rPr>
      </w:pPr>
      <w:proofErr w:type="spellStart"/>
      <w:r w:rsidRPr="007A6EBE">
        <w:rPr>
          <w:sz w:val="20"/>
        </w:rPr>
        <w:t>Lonystraße</w:t>
      </w:r>
      <w:proofErr w:type="spellEnd"/>
      <w:r w:rsidRPr="007A6EBE">
        <w:rPr>
          <w:sz w:val="20"/>
        </w:rPr>
        <w:t xml:space="preserve"> 7</w:t>
      </w:r>
    </w:p>
    <w:p w14:paraId="3894A4AA" w14:textId="77777777" w:rsidR="0034279C" w:rsidRPr="007A6EBE" w:rsidRDefault="0034279C" w:rsidP="0034279C">
      <w:pPr>
        <w:rPr>
          <w:sz w:val="20"/>
        </w:rPr>
      </w:pPr>
      <w:r w:rsidRPr="007A6EBE">
        <w:rPr>
          <w:sz w:val="20"/>
        </w:rPr>
        <w:t xml:space="preserve">35390 </w:t>
      </w:r>
      <w:r w:rsidRPr="007A6EBE">
        <w:rPr>
          <w:b/>
          <w:sz w:val="20"/>
        </w:rPr>
        <w:t>Gießen</w:t>
      </w:r>
    </w:p>
    <w:p w14:paraId="397DECC5" w14:textId="77777777" w:rsidR="0034279C" w:rsidRPr="007A6EBE" w:rsidRDefault="0034279C" w:rsidP="0034279C">
      <w:pPr>
        <w:rPr>
          <w:sz w:val="20"/>
        </w:rPr>
      </w:pPr>
      <w:r w:rsidRPr="007A6EBE">
        <w:rPr>
          <w:sz w:val="20"/>
        </w:rPr>
        <w:t>Telefon:</w:t>
      </w:r>
      <w:r w:rsidRPr="007A6EBE">
        <w:rPr>
          <w:sz w:val="20"/>
        </w:rPr>
        <w:tab/>
        <w:t>06 41 / 79</w:t>
      </w:r>
      <w:r>
        <w:rPr>
          <w:sz w:val="20"/>
        </w:rPr>
        <w:t xml:space="preserve"> </w:t>
      </w:r>
      <w:r w:rsidRPr="007A6EBE">
        <w:rPr>
          <w:sz w:val="20"/>
        </w:rPr>
        <w:t>54 - 0</w:t>
      </w:r>
    </w:p>
    <w:p w14:paraId="2EF10155" w14:textId="77777777" w:rsidR="0034279C" w:rsidRPr="007A6EBE" w:rsidRDefault="0034279C" w:rsidP="0034279C">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6ECCE375" w14:textId="77777777" w:rsidR="0034279C" w:rsidRPr="007A6EBE" w:rsidRDefault="0034279C" w:rsidP="0034279C">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453EE794" w14:textId="77777777" w:rsidR="0034279C" w:rsidRDefault="0034279C" w:rsidP="0034279C">
      <w:pPr>
        <w:rPr>
          <w:sz w:val="20"/>
        </w:rPr>
      </w:pPr>
    </w:p>
    <w:p w14:paraId="1946FE25" w14:textId="77777777" w:rsidR="0034279C" w:rsidRDefault="0034279C" w:rsidP="0034279C">
      <w:pPr>
        <w:rPr>
          <w:sz w:val="20"/>
        </w:rPr>
      </w:pPr>
    </w:p>
    <w:p w14:paraId="5390A210" w14:textId="77777777" w:rsidR="0034279C" w:rsidRPr="007A6EBE" w:rsidRDefault="0034279C" w:rsidP="0034279C">
      <w:pPr>
        <w:rPr>
          <w:sz w:val="20"/>
        </w:rPr>
      </w:pPr>
      <w:r w:rsidRPr="007A6EBE">
        <w:rPr>
          <w:sz w:val="20"/>
        </w:rPr>
        <w:t>Industrie- und Handelskammer</w:t>
      </w:r>
    </w:p>
    <w:p w14:paraId="6EA62ABC" w14:textId="77777777" w:rsidR="0034279C" w:rsidRPr="007A6EBE" w:rsidRDefault="0034279C" w:rsidP="0034279C">
      <w:pPr>
        <w:rPr>
          <w:b/>
          <w:sz w:val="20"/>
        </w:rPr>
      </w:pPr>
      <w:r w:rsidRPr="007A6EBE">
        <w:rPr>
          <w:b/>
          <w:sz w:val="20"/>
        </w:rPr>
        <w:t>Gießen-Friedberg</w:t>
      </w:r>
    </w:p>
    <w:p w14:paraId="77C24FDA" w14:textId="77777777" w:rsidR="0034279C" w:rsidRPr="007A6EBE" w:rsidRDefault="0034279C" w:rsidP="0034279C">
      <w:pPr>
        <w:rPr>
          <w:sz w:val="20"/>
        </w:rPr>
      </w:pPr>
      <w:r w:rsidRPr="007A6EBE">
        <w:rPr>
          <w:sz w:val="20"/>
        </w:rPr>
        <w:t>Goetheplatz 3</w:t>
      </w:r>
    </w:p>
    <w:p w14:paraId="747E4B37" w14:textId="77777777" w:rsidR="0034279C" w:rsidRPr="007A6EBE" w:rsidRDefault="0034279C" w:rsidP="0034279C">
      <w:pPr>
        <w:rPr>
          <w:sz w:val="20"/>
        </w:rPr>
      </w:pPr>
      <w:r w:rsidRPr="007A6EBE">
        <w:rPr>
          <w:sz w:val="20"/>
        </w:rPr>
        <w:t xml:space="preserve">61169 </w:t>
      </w:r>
      <w:r w:rsidRPr="007A6EBE">
        <w:rPr>
          <w:b/>
          <w:sz w:val="20"/>
        </w:rPr>
        <w:t xml:space="preserve">Friedberg </w:t>
      </w:r>
      <w:r w:rsidRPr="007A6EBE">
        <w:rPr>
          <w:sz w:val="20"/>
        </w:rPr>
        <w:t>(Hessen)</w:t>
      </w:r>
    </w:p>
    <w:p w14:paraId="2C1861E9" w14:textId="77777777" w:rsidR="0034279C" w:rsidRPr="007A6EBE" w:rsidRDefault="0034279C" w:rsidP="0034279C">
      <w:pPr>
        <w:rPr>
          <w:sz w:val="20"/>
        </w:rPr>
      </w:pPr>
      <w:r w:rsidRPr="007A6EBE">
        <w:rPr>
          <w:sz w:val="20"/>
        </w:rPr>
        <w:t>Telefon:</w:t>
      </w:r>
      <w:r w:rsidRPr="007A6EBE">
        <w:rPr>
          <w:sz w:val="20"/>
        </w:rPr>
        <w:tab/>
        <w:t>0 60 31 / 6 09 - 0</w:t>
      </w:r>
    </w:p>
    <w:p w14:paraId="3E70F4E5" w14:textId="77777777" w:rsidR="0034279C" w:rsidRPr="007A6EBE" w:rsidRDefault="0034279C" w:rsidP="0034279C">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E6FD973" w14:textId="77777777" w:rsidR="0034279C" w:rsidRDefault="0034279C" w:rsidP="0034279C">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73F5C599" w14:textId="77777777" w:rsidR="0034279C" w:rsidRDefault="0034279C" w:rsidP="0034279C">
      <w:pPr>
        <w:rPr>
          <w:rStyle w:val="Hyperlink"/>
          <w:sz w:val="18"/>
        </w:rPr>
      </w:pPr>
    </w:p>
    <w:p w14:paraId="36AA80F5" w14:textId="77777777" w:rsidR="0034279C" w:rsidRDefault="0034279C" w:rsidP="0034279C">
      <w:pPr>
        <w:rPr>
          <w:rStyle w:val="Hyperlink"/>
          <w:sz w:val="18"/>
        </w:rPr>
      </w:pPr>
    </w:p>
    <w:p w14:paraId="462212F1" w14:textId="77777777" w:rsidR="0034279C" w:rsidRPr="007A6EBE" w:rsidRDefault="0034279C" w:rsidP="0034279C">
      <w:pPr>
        <w:rPr>
          <w:sz w:val="20"/>
        </w:rPr>
      </w:pPr>
      <w:r w:rsidRPr="007A6EBE">
        <w:rPr>
          <w:sz w:val="20"/>
        </w:rPr>
        <w:t>Industrie- und Handelskammer</w:t>
      </w:r>
    </w:p>
    <w:p w14:paraId="243D7C86" w14:textId="77777777" w:rsidR="0034279C" w:rsidRPr="007A6EBE" w:rsidRDefault="0034279C" w:rsidP="0034279C">
      <w:pPr>
        <w:rPr>
          <w:sz w:val="20"/>
        </w:rPr>
      </w:pPr>
      <w:r>
        <w:rPr>
          <w:b/>
          <w:sz w:val="20"/>
        </w:rPr>
        <w:t xml:space="preserve">Lahn-Dill </w:t>
      </w:r>
    </w:p>
    <w:p w14:paraId="65DED367" w14:textId="77777777" w:rsidR="0034279C" w:rsidRPr="007A6EBE" w:rsidRDefault="0034279C" w:rsidP="0034279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061157F" w14:textId="77777777" w:rsidR="0034279C" w:rsidRPr="007A6EBE" w:rsidRDefault="0034279C" w:rsidP="0034279C">
      <w:pPr>
        <w:rPr>
          <w:sz w:val="20"/>
        </w:rPr>
      </w:pPr>
      <w:r w:rsidRPr="007A6EBE">
        <w:rPr>
          <w:sz w:val="20"/>
        </w:rPr>
        <w:t xml:space="preserve">35685 </w:t>
      </w:r>
      <w:r w:rsidRPr="00705178">
        <w:rPr>
          <w:b/>
          <w:sz w:val="20"/>
        </w:rPr>
        <w:t>Dillenburg</w:t>
      </w:r>
    </w:p>
    <w:p w14:paraId="17828560" w14:textId="77777777" w:rsidR="0034279C" w:rsidRPr="007A6EBE" w:rsidRDefault="0034279C" w:rsidP="0034279C">
      <w:pPr>
        <w:rPr>
          <w:sz w:val="20"/>
        </w:rPr>
      </w:pPr>
      <w:r w:rsidRPr="007A6EBE">
        <w:rPr>
          <w:sz w:val="20"/>
        </w:rPr>
        <w:t>Telefon:</w:t>
      </w:r>
      <w:r w:rsidRPr="007A6EBE">
        <w:rPr>
          <w:sz w:val="20"/>
        </w:rPr>
        <w:tab/>
        <w:t>0 27 71 / 8 42 - 0</w:t>
      </w:r>
    </w:p>
    <w:p w14:paraId="05437E5C" w14:textId="77777777" w:rsidR="0034279C" w:rsidRDefault="0034279C" w:rsidP="0034279C">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095331A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57A520F8" w14:textId="77777777" w:rsidR="0034279C" w:rsidRDefault="0034279C" w:rsidP="0034279C">
      <w:pPr>
        <w:rPr>
          <w:sz w:val="20"/>
        </w:rPr>
      </w:pPr>
    </w:p>
    <w:p w14:paraId="74EEBE9B" w14:textId="77777777" w:rsidR="0034279C" w:rsidRPr="007A6EBE" w:rsidRDefault="0034279C" w:rsidP="0034279C">
      <w:pPr>
        <w:rPr>
          <w:sz w:val="20"/>
        </w:rPr>
      </w:pPr>
    </w:p>
    <w:p w14:paraId="06132B76" w14:textId="77777777" w:rsidR="0034279C" w:rsidRPr="007A6EBE" w:rsidRDefault="0034279C" w:rsidP="0034279C">
      <w:pPr>
        <w:rPr>
          <w:sz w:val="20"/>
        </w:rPr>
      </w:pPr>
      <w:r w:rsidRPr="007A6EBE">
        <w:rPr>
          <w:sz w:val="20"/>
        </w:rPr>
        <w:t>Friedenstraße 2</w:t>
      </w:r>
    </w:p>
    <w:p w14:paraId="2876F7C1" w14:textId="77777777" w:rsidR="0034279C" w:rsidRPr="007A6EBE" w:rsidRDefault="0034279C" w:rsidP="0034279C">
      <w:pPr>
        <w:rPr>
          <w:sz w:val="20"/>
        </w:rPr>
      </w:pPr>
      <w:r w:rsidRPr="007A6EBE">
        <w:rPr>
          <w:sz w:val="20"/>
        </w:rPr>
        <w:t xml:space="preserve">35578 </w:t>
      </w:r>
      <w:r w:rsidRPr="00705178">
        <w:rPr>
          <w:b/>
          <w:sz w:val="20"/>
        </w:rPr>
        <w:t>Wetzlar</w:t>
      </w:r>
    </w:p>
    <w:p w14:paraId="770B6F31" w14:textId="77777777" w:rsidR="0034279C" w:rsidRPr="007A6EBE" w:rsidRDefault="0034279C" w:rsidP="0034279C">
      <w:pPr>
        <w:rPr>
          <w:sz w:val="20"/>
        </w:rPr>
      </w:pPr>
      <w:r w:rsidRPr="007A6EBE">
        <w:rPr>
          <w:sz w:val="20"/>
        </w:rPr>
        <w:t>Telefon:</w:t>
      </w:r>
      <w:r w:rsidRPr="007A6EBE">
        <w:rPr>
          <w:sz w:val="20"/>
        </w:rPr>
        <w:tab/>
        <w:t>0 64 41 / 94 48 - 0</w:t>
      </w:r>
    </w:p>
    <w:p w14:paraId="0CB5A0F7" w14:textId="77777777" w:rsidR="0034279C" w:rsidRPr="007A6EBE" w:rsidRDefault="0034279C" w:rsidP="0034279C">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2EECE871"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519E002E" w14:textId="77777777" w:rsidR="0034279C" w:rsidRDefault="0034279C" w:rsidP="0034279C">
      <w:pPr>
        <w:rPr>
          <w:rStyle w:val="Hyperlink"/>
          <w:sz w:val="20"/>
        </w:rPr>
      </w:pPr>
    </w:p>
    <w:p w14:paraId="3579C957" w14:textId="77777777" w:rsidR="0034279C" w:rsidRDefault="0034279C" w:rsidP="0034279C">
      <w:pPr>
        <w:rPr>
          <w:rStyle w:val="Hyperlink"/>
          <w:sz w:val="20"/>
        </w:rPr>
      </w:pPr>
    </w:p>
    <w:p w14:paraId="0390398E" w14:textId="77777777" w:rsidR="0034279C" w:rsidRDefault="0034279C" w:rsidP="0034279C">
      <w:pPr>
        <w:rPr>
          <w:rStyle w:val="Hyperlink"/>
          <w:sz w:val="20"/>
        </w:rPr>
      </w:pPr>
    </w:p>
    <w:p w14:paraId="4EFCBFF2" w14:textId="77777777" w:rsidR="0034279C" w:rsidRPr="007A6EBE" w:rsidRDefault="0034279C" w:rsidP="0034279C">
      <w:pPr>
        <w:rPr>
          <w:sz w:val="20"/>
        </w:rPr>
      </w:pPr>
      <w:r w:rsidRPr="007A6EBE">
        <w:rPr>
          <w:sz w:val="20"/>
        </w:rPr>
        <w:t>Industrie- und Handelskammer</w:t>
      </w:r>
    </w:p>
    <w:p w14:paraId="515C8C11" w14:textId="77777777" w:rsidR="0034279C" w:rsidRPr="007A6EBE" w:rsidRDefault="0034279C" w:rsidP="0034279C">
      <w:pPr>
        <w:rPr>
          <w:sz w:val="20"/>
        </w:rPr>
      </w:pPr>
      <w:r w:rsidRPr="007A6EBE">
        <w:rPr>
          <w:b/>
          <w:sz w:val="20"/>
        </w:rPr>
        <w:t>Limburg</w:t>
      </w:r>
    </w:p>
    <w:p w14:paraId="66764A41" w14:textId="77777777" w:rsidR="0034279C" w:rsidRPr="007A6EBE" w:rsidRDefault="0034279C" w:rsidP="0034279C">
      <w:pPr>
        <w:rPr>
          <w:sz w:val="20"/>
        </w:rPr>
      </w:pPr>
      <w:proofErr w:type="spellStart"/>
      <w:r w:rsidRPr="007A6EBE">
        <w:rPr>
          <w:sz w:val="20"/>
        </w:rPr>
        <w:t>Walderdorffstraße</w:t>
      </w:r>
      <w:proofErr w:type="spellEnd"/>
      <w:r w:rsidRPr="007A6EBE">
        <w:rPr>
          <w:sz w:val="20"/>
        </w:rPr>
        <w:t xml:space="preserve"> 7</w:t>
      </w:r>
    </w:p>
    <w:p w14:paraId="630B96E6" w14:textId="77777777" w:rsidR="0034279C" w:rsidRPr="007A6EBE" w:rsidRDefault="0034279C" w:rsidP="0034279C">
      <w:pPr>
        <w:rPr>
          <w:sz w:val="20"/>
        </w:rPr>
      </w:pPr>
      <w:r w:rsidRPr="007A6EBE">
        <w:rPr>
          <w:sz w:val="20"/>
        </w:rPr>
        <w:t>65549 Limburg a. d. Lahn</w:t>
      </w:r>
    </w:p>
    <w:p w14:paraId="4EA8D5FD" w14:textId="77777777" w:rsidR="0034279C" w:rsidRPr="007A6EBE" w:rsidRDefault="0034279C" w:rsidP="0034279C">
      <w:pPr>
        <w:rPr>
          <w:sz w:val="20"/>
        </w:rPr>
      </w:pPr>
      <w:r w:rsidRPr="007A6EBE">
        <w:rPr>
          <w:sz w:val="20"/>
        </w:rPr>
        <w:t>Telefon:</w:t>
      </w:r>
      <w:r w:rsidRPr="007A6EBE">
        <w:rPr>
          <w:sz w:val="20"/>
        </w:rPr>
        <w:tab/>
        <w:t>0 64 31 / 2 10 - 0</w:t>
      </w:r>
    </w:p>
    <w:p w14:paraId="3E261BFC" w14:textId="77777777" w:rsidR="0034279C" w:rsidRDefault="0034279C" w:rsidP="0034279C">
      <w:pPr>
        <w:rPr>
          <w:sz w:val="20"/>
        </w:rPr>
      </w:pPr>
      <w:r>
        <w:rPr>
          <w:sz w:val="20"/>
        </w:rPr>
        <w:t>Internet:</w:t>
      </w:r>
      <w:r>
        <w:rPr>
          <w:sz w:val="20"/>
        </w:rPr>
        <w:tab/>
      </w:r>
      <w:hyperlink r:id="rId28" w:history="1">
        <w:r w:rsidRPr="004E2E7B">
          <w:rPr>
            <w:rStyle w:val="Hyperlink"/>
            <w:sz w:val="20"/>
          </w:rPr>
          <w:t>https://www.ihk.de/limburg</w:t>
        </w:r>
      </w:hyperlink>
    </w:p>
    <w:p w14:paraId="570C5A8D" w14:textId="77777777" w:rsidR="0034279C" w:rsidRDefault="0034279C" w:rsidP="0034279C">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0FFAC26B" w14:textId="77777777" w:rsidR="0034279C" w:rsidRDefault="0034279C" w:rsidP="0034279C">
      <w:pPr>
        <w:rPr>
          <w:rStyle w:val="Hyperlink"/>
          <w:sz w:val="20"/>
        </w:rPr>
      </w:pPr>
    </w:p>
    <w:p w14:paraId="22014BA1" w14:textId="77777777" w:rsidR="0034279C" w:rsidRDefault="0034279C" w:rsidP="0034279C">
      <w:pPr>
        <w:rPr>
          <w:sz w:val="20"/>
        </w:rPr>
      </w:pPr>
    </w:p>
    <w:p w14:paraId="26BF2147" w14:textId="77777777" w:rsidR="0034279C" w:rsidRPr="007A6EBE" w:rsidRDefault="0034279C" w:rsidP="0034279C">
      <w:pPr>
        <w:rPr>
          <w:sz w:val="20"/>
        </w:rPr>
      </w:pPr>
      <w:r w:rsidRPr="007A6EBE">
        <w:rPr>
          <w:sz w:val="20"/>
        </w:rPr>
        <w:t>Industrie- und Handelskammer</w:t>
      </w:r>
    </w:p>
    <w:p w14:paraId="0D6C66B4" w14:textId="77777777" w:rsidR="0034279C" w:rsidRPr="007A6EBE" w:rsidRDefault="0034279C" w:rsidP="0034279C">
      <w:pPr>
        <w:rPr>
          <w:sz w:val="20"/>
        </w:rPr>
      </w:pPr>
      <w:r w:rsidRPr="007A6EBE">
        <w:rPr>
          <w:b/>
          <w:sz w:val="20"/>
        </w:rPr>
        <w:t>Fulda</w:t>
      </w:r>
    </w:p>
    <w:p w14:paraId="12ACCCED" w14:textId="77777777" w:rsidR="0034279C" w:rsidRPr="007A6EBE" w:rsidRDefault="0034279C" w:rsidP="0034279C">
      <w:pPr>
        <w:rPr>
          <w:sz w:val="20"/>
        </w:rPr>
      </w:pPr>
      <w:r w:rsidRPr="007A6EBE">
        <w:rPr>
          <w:sz w:val="20"/>
        </w:rPr>
        <w:t>Heinrichstraße 8</w:t>
      </w:r>
    </w:p>
    <w:p w14:paraId="0A3E6928" w14:textId="77777777" w:rsidR="0034279C" w:rsidRPr="00B81900" w:rsidRDefault="0034279C" w:rsidP="0034279C">
      <w:pPr>
        <w:rPr>
          <w:sz w:val="20"/>
          <w:lang w:val="it-IT"/>
        </w:rPr>
      </w:pPr>
      <w:r w:rsidRPr="00B81900">
        <w:rPr>
          <w:sz w:val="20"/>
          <w:lang w:val="it-IT"/>
        </w:rPr>
        <w:t>36037 Fulda</w:t>
      </w:r>
    </w:p>
    <w:p w14:paraId="1754DAD5" w14:textId="77777777" w:rsidR="0034279C" w:rsidRPr="00B81900" w:rsidRDefault="0034279C" w:rsidP="0034279C">
      <w:pPr>
        <w:rPr>
          <w:sz w:val="20"/>
          <w:lang w:val="it-IT"/>
        </w:rPr>
      </w:pPr>
      <w:proofErr w:type="spellStart"/>
      <w:r w:rsidRPr="00B81900">
        <w:rPr>
          <w:sz w:val="20"/>
          <w:lang w:val="it-IT"/>
        </w:rPr>
        <w:t>Telefon</w:t>
      </w:r>
      <w:proofErr w:type="spellEnd"/>
      <w:r w:rsidRPr="00B81900">
        <w:rPr>
          <w:sz w:val="20"/>
          <w:lang w:val="it-IT"/>
        </w:rPr>
        <w:t>:</w:t>
      </w:r>
      <w:r w:rsidRPr="00B81900">
        <w:rPr>
          <w:sz w:val="20"/>
          <w:lang w:val="it-IT"/>
        </w:rPr>
        <w:tab/>
        <w:t>06 61 / 2 84 - 0</w:t>
      </w:r>
    </w:p>
    <w:p w14:paraId="2D5BD2CE" w14:textId="77777777" w:rsidR="0034279C" w:rsidRPr="00F43BB7" w:rsidRDefault="0034279C" w:rsidP="0034279C">
      <w:pPr>
        <w:rPr>
          <w:sz w:val="20"/>
          <w:lang w:val="it-IT"/>
        </w:rPr>
      </w:pPr>
      <w:r w:rsidRPr="00B81900">
        <w:rPr>
          <w:sz w:val="20"/>
          <w:lang w:val="it-IT"/>
        </w:rPr>
        <w:t>Internet:</w:t>
      </w:r>
      <w:r w:rsidRPr="00B81900">
        <w:rPr>
          <w:sz w:val="20"/>
          <w:lang w:val="it-IT"/>
        </w:rPr>
        <w:tab/>
      </w:r>
      <w:hyperlink r:id="rId30" w:history="1">
        <w:r w:rsidRPr="0059593E">
          <w:rPr>
            <w:rStyle w:val="Hyperlink"/>
            <w:sz w:val="20"/>
            <w:lang w:val="it-IT"/>
          </w:rPr>
          <w:t>https://www.ihk.de/fulda</w:t>
        </w:r>
      </w:hyperlink>
    </w:p>
    <w:p w14:paraId="36B2EFDE" w14:textId="77777777" w:rsidR="0034279C" w:rsidRPr="00B81900" w:rsidRDefault="0034279C" w:rsidP="0034279C">
      <w:pPr>
        <w:rPr>
          <w:rStyle w:val="Hyperlink"/>
          <w:sz w:val="20"/>
          <w:lang w:val="it-IT"/>
        </w:rPr>
      </w:pPr>
      <w:r w:rsidRPr="00B81900">
        <w:rPr>
          <w:sz w:val="20"/>
          <w:lang w:val="it-IT"/>
        </w:rPr>
        <w:t>E-Mail:</w:t>
      </w:r>
      <w:r w:rsidRPr="00B81900">
        <w:rPr>
          <w:sz w:val="20"/>
          <w:lang w:val="it-IT"/>
        </w:rPr>
        <w:tab/>
      </w:r>
      <w:r w:rsidRPr="00B81900">
        <w:rPr>
          <w:sz w:val="20"/>
          <w:lang w:val="it-IT"/>
        </w:rPr>
        <w:tab/>
      </w:r>
      <w:hyperlink r:id="rId31" w:history="1">
        <w:r w:rsidRPr="00B81900">
          <w:rPr>
            <w:rStyle w:val="Hyperlink"/>
            <w:sz w:val="20"/>
            <w:lang w:val="it-IT"/>
          </w:rPr>
          <w:t>info@fulda.ihk.de</w:t>
        </w:r>
      </w:hyperlink>
    </w:p>
    <w:p w14:paraId="09A8F8FC" w14:textId="77777777" w:rsidR="0034279C" w:rsidRPr="00B81900" w:rsidRDefault="0034279C" w:rsidP="0034279C">
      <w:pPr>
        <w:rPr>
          <w:rStyle w:val="Hyperlink"/>
          <w:sz w:val="20"/>
          <w:lang w:val="it-IT"/>
        </w:rPr>
      </w:pPr>
    </w:p>
    <w:p w14:paraId="32648D27" w14:textId="77777777" w:rsidR="0034279C" w:rsidRPr="00B81900" w:rsidRDefault="0034279C" w:rsidP="0034279C">
      <w:pPr>
        <w:rPr>
          <w:rStyle w:val="Hyperlink"/>
          <w:sz w:val="20"/>
          <w:lang w:val="it-IT"/>
        </w:rPr>
      </w:pPr>
    </w:p>
    <w:p w14:paraId="5687CE15" w14:textId="77777777" w:rsidR="0034279C" w:rsidRPr="007A6EBE" w:rsidRDefault="0034279C" w:rsidP="0034279C">
      <w:pPr>
        <w:rPr>
          <w:sz w:val="20"/>
        </w:rPr>
      </w:pPr>
      <w:r w:rsidRPr="007A6EBE">
        <w:rPr>
          <w:sz w:val="20"/>
        </w:rPr>
        <w:t>Industrie- und Handelskammer</w:t>
      </w:r>
    </w:p>
    <w:p w14:paraId="32F9EF52" w14:textId="77777777" w:rsidR="0034279C" w:rsidRPr="007A6EBE" w:rsidRDefault="0034279C" w:rsidP="0034279C">
      <w:pPr>
        <w:rPr>
          <w:sz w:val="20"/>
        </w:rPr>
      </w:pPr>
      <w:r w:rsidRPr="007A6EBE">
        <w:rPr>
          <w:b/>
          <w:sz w:val="20"/>
        </w:rPr>
        <w:t>Hanau-Gelnhausen-Schlüchtern</w:t>
      </w:r>
    </w:p>
    <w:p w14:paraId="395EE1A6" w14:textId="77777777" w:rsidR="0034279C" w:rsidRPr="007A6EBE" w:rsidRDefault="0034279C" w:rsidP="0034279C">
      <w:pPr>
        <w:rPr>
          <w:sz w:val="20"/>
        </w:rPr>
      </w:pPr>
      <w:r w:rsidRPr="007A6EBE">
        <w:rPr>
          <w:sz w:val="20"/>
        </w:rPr>
        <w:t>Am Pedro-Jung-Park 14</w:t>
      </w:r>
    </w:p>
    <w:p w14:paraId="08037460" w14:textId="77777777" w:rsidR="0034279C" w:rsidRPr="007A6EBE" w:rsidRDefault="0034279C" w:rsidP="0034279C">
      <w:pPr>
        <w:rPr>
          <w:sz w:val="20"/>
        </w:rPr>
      </w:pPr>
      <w:r w:rsidRPr="007A6EBE">
        <w:rPr>
          <w:sz w:val="20"/>
        </w:rPr>
        <w:t>63450 Hanau</w:t>
      </w:r>
    </w:p>
    <w:p w14:paraId="07943CE7" w14:textId="77777777" w:rsidR="0034279C" w:rsidRPr="007A6EBE" w:rsidRDefault="0034279C" w:rsidP="0034279C">
      <w:pPr>
        <w:rPr>
          <w:sz w:val="20"/>
        </w:rPr>
      </w:pPr>
      <w:r w:rsidRPr="007A6EBE">
        <w:rPr>
          <w:sz w:val="20"/>
        </w:rPr>
        <w:t>Telefon:</w:t>
      </w:r>
      <w:r w:rsidRPr="007A6EBE">
        <w:rPr>
          <w:sz w:val="20"/>
        </w:rPr>
        <w:tab/>
        <w:t>0 61 81 / 92 90 - 0</w:t>
      </w:r>
    </w:p>
    <w:p w14:paraId="5CF11BF8" w14:textId="77777777" w:rsidR="0034279C" w:rsidRPr="008E38A8" w:rsidRDefault="0034279C" w:rsidP="0034279C">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28CADFD2"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09F95641" w14:textId="77777777" w:rsidR="0034279C" w:rsidRDefault="0034279C" w:rsidP="0034279C">
      <w:pPr>
        <w:rPr>
          <w:sz w:val="20"/>
        </w:rPr>
      </w:pPr>
    </w:p>
    <w:p w14:paraId="3D6EC2B9" w14:textId="77777777" w:rsidR="0034279C" w:rsidRPr="007A6EBE" w:rsidRDefault="0034279C" w:rsidP="0034279C">
      <w:pPr>
        <w:rPr>
          <w:sz w:val="20"/>
        </w:rPr>
      </w:pPr>
    </w:p>
    <w:p w14:paraId="5D30F524" w14:textId="77777777" w:rsidR="0034279C" w:rsidRPr="007A6EBE" w:rsidRDefault="0034279C" w:rsidP="0034279C">
      <w:pPr>
        <w:rPr>
          <w:sz w:val="20"/>
        </w:rPr>
      </w:pPr>
      <w:r w:rsidRPr="007A6EBE">
        <w:rPr>
          <w:sz w:val="20"/>
        </w:rPr>
        <w:t>Industrie- und Handelskammer</w:t>
      </w:r>
    </w:p>
    <w:p w14:paraId="3A396049" w14:textId="77777777" w:rsidR="0034279C" w:rsidRDefault="0034279C" w:rsidP="0034279C">
      <w:pPr>
        <w:rPr>
          <w:b/>
          <w:sz w:val="20"/>
        </w:rPr>
      </w:pPr>
      <w:r>
        <w:rPr>
          <w:b/>
          <w:sz w:val="20"/>
        </w:rPr>
        <w:t>Kassel-Marburg</w:t>
      </w:r>
    </w:p>
    <w:p w14:paraId="462FB42D" w14:textId="77777777" w:rsidR="0034279C" w:rsidRPr="007A6EBE" w:rsidRDefault="0034279C" w:rsidP="0034279C">
      <w:pPr>
        <w:rPr>
          <w:sz w:val="20"/>
        </w:rPr>
      </w:pPr>
      <w:r w:rsidRPr="007A6EBE">
        <w:rPr>
          <w:sz w:val="20"/>
        </w:rPr>
        <w:t>Kurfürstenstraße 9</w:t>
      </w:r>
    </w:p>
    <w:p w14:paraId="2F1FEC27" w14:textId="77777777" w:rsidR="0034279C" w:rsidRPr="007A6EBE" w:rsidRDefault="0034279C" w:rsidP="0034279C">
      <w:pPr>
        <w:rPr>
          <w:sz w:val="20"/>
        </w:rPr>
      </w:pPr>
      <w:r w:rsidRPr="007A6EBE">
        <w:rPr>
          <w:sz w:val="20"/>
        </w:rPr>
        <w:t>34117 Kassel</w:t>
      </w:r>
    </w:p>
    <w:p w14:paraId="76B36AC8" w14:textId="77777777" w:rsidR="0034279C" w:rsidRPr="007A6EBE" w:rsidRDefault="0034279C" w:rsidP="0034279C">
      <w:pPr>
        <w:rPr>
          <w:sz w:val="20"/>
        </w:rPr>
      </w:pPr>
      <w:r w:rsidRPr="007A6EBE">
        <w:rPr>
          <w:sz w:val="20"/>
        </w:rPr>
        <w:t>Telefon:</w:t>
      </w:r>
      <w:r w:rsidRPr="007A6EBE">
        <w:rPr>
          <w:sz w:val="20"/>
        </w:rPr>
        <w:tab/>
        <w:t>05 61 / 78 91 - 0</w:t>
      </w:r>
    </w:p>
    <w:p w14:paraId="5C1479F5" w14:textId="77777777" w:rsidR="0034279C" w:rsidRPr="007A6EBE" w:rsidRDefault="0034279C" w:rsidP="0034279C">
      <w:pPr>
        <w:rPr>
          <w:sz w:val="20"/>
        </w:rPr>
      </w:pPr>
      <w:r w:rsidRPr="007A6EBE">
        <w:rPr>
          <w:sz w:val="20"/>
        </w:rPr>
        <w:t>Telefax:</w:t>
      </w:r>
      <w:r w:rsidRPr="007A6EBE">
        <w:rPr>
          <w:sz w:val="20"/>
        </w:rPr>
        <w:tab/>
        <w:t>05 61 / 78 91 - 2 90</w:t>
      </w:r>
    </w:p>
    <w:p w14:paraId="18979D39" w14:textId="77777777" w:rsidR="0034279C" w:rsidRPr="004E2E7B" w:rsidRDefault="0034279C" w:rsidP="0034279C">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0B7758CB"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7C96295A" w14:textId="77777777" w:rsidR="0034279C" w:rsidRDefault="0034279C" w:rsidP="0034279C">
      <w:pPr>
        <w:rPr>
          <w:sz w:val="20"/>
        </w:rPr>
      </w:pPr>
    </w:p>
    <w:p w14:paraId="27BD5815" w14:textId="77777777" w:rsidR="0034279C" w:rsidRPr="007A6EBE" w:rsidRDefault="0034279C" w:rsidP="0034279C">
      <w:pPr>
        <w:rPr>
          <w:sz w:val="20"/>
        </w:rPr>
      </w:pPr>
    </w:p>
    <w:p w14:paraId="25E8F72C" w14:textId="77777777" w:rsidR="0034279C" w:rsidRPr="007A6EBE" w:rsidRDefault="0034279C" w:rsidP="0034279C">
      <w:pPr>
        <w:rPr>
          <w:sz w:val="20"/>
        </w:rPr>
      </w:pPr>
      <w:r w:rsidRPr="007A6EBE">
        <w:rPr>
          <w:sz w:val="20"/>
        </w:rPr>
        <w:t>Industrie- und Handelskammer</w:t>
      </w:r>
    </w:p>
    <w:p w14:paraId="755F08C8" w14:textId="77777777" w:rsidR="0034279C" w:rsidRPr="007A6EBE" w:rsidRDefault="0034279C" w:rsidP="0034279C">
      <w:pPr>
        <w:rPr>
          <w:b/>
          <w:sz w:val="20"/>
        </w:rPr>
      </w:pPr>
      <w:r w:rsidRPr="007A6EBE">
        <w:rPr>
          <w:b/>
          <w:sz w:val="20"/>
        </w:rPr>
        <w:t>Offenbach am Main</w:t>
      </w:r>
    </w:p>
    <w:p w14:paraId="59E0CA87" w14:textId="77777777" w:rsidR="0034279C" w:rsidRPr="007A6EBE" w:rsidRDefault="0034279C" w:rsidP="0034279C">
      <w:pPr>
        <w:rPr>
          <w:sz w:val="20"/>
        </w:rPr>
      </w:pPr>
      <w:r w:rsidRPr="007A6EBE">
        <w:rPr>
          <w:sz w:val="20"/>
        </w:rPr>
        <w:t>Frankfurter Str. 90</w:t>
      </w:r>
    </w:p>
    <w:p w14:paraId="1FC69036" w14:textId="77777777" w:rsidR="0034279C" w:rsidRPr="007A6EBE" w:rsidRDefault="0034279C" w:rsidP="0034279C">
      <w:pPr>
        <w:rPr>
          <w:sz w:val="20"/>
        </w:rPr>
      </w:pPr>
      <w:r w:rsidRPr="007A6EBE">
        <w:rPr>
          <w:sz w:val="20"/>
        </w:rPr>
        <w:t>63067 Offenbach</w:t>
      </w:r>
    </w:p>
    <w:p w14:paraId="1F972210" w14:textId="77777777" w:rsidR="0034279C" w:rsidRPr="007A6EBE" w:rsidRDefault="0034279C" w:rsidP="0034279C">
      <w:pPr>
        <w:rPr>
          <w:sz w:val="20"/>
        </w:rPr>
      </w:pPr>
      <w:r w:rsidRPr="007A6EBE">
        <w:rPr>
          <w:sz w:val="20"/>
        </w:rPr>
        <w:t>Telefon:</w:t>
      </w:r>
      <w:r w:rsidRPr="007A6EBE">
        <w:rPr>
          <w:sz w:val="20"/>
        </w:rPr>
        <w:tab/>
        <w:t>0 69 / 82 07 - 0</w:t>
      </w:r>
    </w:p>
    <w:p w14:paraId="04028D5E" w14:textId="77777777" w:rsidR="0034279C" w:rsidRPr="007A6EBE" w:rsidRDefault="0034279C" w:rsidP="0034279C">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70F6028C" w14:textId="77777777" w:rsidR="0034279C" w:rsidRPr="007A6EBE" w:rsidRDefault="0034279C" w:rsidP="0034279C">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28CCA5EE" w14:textId="77777777" w:rsidR="0034279C" w:rsidRDefault="0034279C" w:rsidP="0034279C">
      <w:pPr>
        <w:rPr>
          <w:b/>
        </w:rPr>
      </w:pPr>
    </w:p>
    <w:p w14:paraId="4E0652AF" w14:textId="77777777" w:rsidR="0034279C" w:rsidRDefault="0034279C" w:rsidP="0034279C">
      <w:pPr>
        <w:rPr>
          <w:b/>
        </w:rPr>
      </w:pPr>
    </w:p>
    <w:p w14:paraId="639ED864" w14:textId="77777777" w:rsidR="0034279C" w:rsidRPr="007A6EBE" w:rsidRDefault="0034279C" w:rsidP="0034279C">
      <w:pPr>
        <w:rPr>
          <w:sz w:val="20"/>
        </w:rPr>
      </w:pPr>
      <w:r w:rsidRPr="007A6EBE">
        <w:rPr>
          <w:sz w:val="20"/>
        </w:rPr>
        <w:t>Industrie- und Handelskammer</w:t>
      </w:r>
    </w:p>
    <w:p w14:paraId="5FE065D8" w14:textId="77777777" w:rsidR="0034279C" w:rsidRPr="007A6EBE" w:rsidRDefault="0034279C" w:rsidP="0034279C">
      <w:pPr>
        <w:rPr>
          <w:b/>
          <w:sz w:val="20"/>
        </w:rPr>
      </w:pPr>
      <w:r w:rsidRPr="007A6EBE">
        <w:rPr>
          <w:b/>
          <w:sz w:val="20"/>
        </w:rPr>
        <w:t>Wiesbaden</w:t>
      </w:r>
    </w:p>
    <w:p w14:paraId="3EAFF06D" w14:textId="77777777" w:rsidR="0034279C" w:rsidRPr="007A6EBE" w:rsidRDefault="0034279C" w:rsidP="0034279C">
      <w:pPr>
        <w:rPr>
          <w:sz w:val="20"/>
        </w:rPr>
      </w:pPr>
      <w:r w:rsidRPr="007A6EBE">
        <w:rPr>
          <w:sz w:val="20"/>
        </w:rPr>
        <w:t xml:space="preserve">Wilhelmstraße 24 </w:t>
      </w:r>
      <w:r>
        <w:rPr>
          <w:sz w:val="20"/>
        </w:rPr>
        <w:t>–</w:t>
      </w:r>
      <w:r w:rsidRPr="007A6EBE">
        <w:rPr>
          <w:sz w:val="20"/>
        </w:rPr>
        <w:t xml:space="preserve"> 26</w:t>
      </w:r>
    </w:p>
    <w:p w14:paraId="7EA76115" w14:textId="77777777" w:rsidR="0034279C" w:rsidRPr="007A6EBE" w:rsidRDefault="0034279C" w:rsidP="0034279C">
      <w:pPr>
        <w:rPr>
          <w:sz w:val="20"/>
        </w:rPr>
      </w:pPr>
      <w:r w:rsidRPr="007A6EBE">
        <w:rPr>
          <w:sz w:val="20"/>
        </w:rPr>
        <w:t>65183 Wiesbaden</w:t>
      </w:r>
    </w:p>
    <w:p w14:paraId="76445A83" w14:textId="77777777" w:rsidR="0034279C" w:rsidRPr="007A6EBE" w:rsidRDefault="0034279C" w:rsidP="0034279C">
      <w:pPr>
        <w:rPr>
          <w:sz w:val="20"/>
        </w:rPr>
      </w:pPr>
      <w:r w:rsidRPr="007A6EBE">
        <w:rPr>
          <w:sz w:val="20"/>
        </w:rPr>
        <w:t>Telefon:</w:t>
      </w:r>
      <w:r w:rsidRPr="007A6EBE">
        <w:rPr>
          <w:sz w:val="20"/>
        </w:rPr>
        <w:tab/>
        <w:t>06 11 / 15 00 - 0</w:t>
      </w:r>
    </w:p>
    <w:p w14:paraId="37514568" w14:textId="77777777" w:rsidR="0034279C" w:rsidRPr="007A6EBE" w:rsidRDefault="0034279C" w:rsidP="0034279C">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43E07D53" w14:textId="77777777" w:rsidR="0034279C" w:rsidRDefault="0034279C" w:rsidP="0034279C">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2E695DC2" w14:textId="77777777" w:rsidR="005D41B2" w:rsidRDefault="005D41B2" w:rsidP="005D41B2">
      <w:pPr>
        <w:rPr>
          <w:b/>
        </w:rPr>
      </w:pPr>
    </w:p>
    <w:sectPr w:rsidR="005D41B2" w:rsidSect="004247DA">
      <w:headerReference w:type="default" r:id="rId40"/>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4C6B" w14:textId="77777777" w:rsidR="003847A2" w:rsidRDefault="003847A2">
      <w:r>
        <w:separator/>
      </w:r>
    </w:p>
  </w:endnote>
  <w:endnote w:type="continuationSeparator" w:id="0">
    <w:p w14:paraId="12CDF9BA" w14:textId="77777777" w:rsidR="003847A2" w:rsidRDefault="003847A2">
      <w:r>
        <w:continuationSeparator/>
      </w:r>
    </w:p>
  </w:endnote>
  <w:endnote w:type="continuationNotice" w:id="1">
    <w:p w14:paraId="65916748" w14:textId="77777777" w:rsidR="00CA265C" w:rsidRDefault="00CA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F80F" w14:textId="77777777" w:rsidR="006D32EB" w:rsidRDefault="006D32EB" w:rsidP="004247DA">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D81A2E">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D81A2E">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4B46" w14:textId="1F46A30C" w:rsidR="000C1333" w:rsidRPr="000C1333" w:rsidRDefault="000C1333" w:rsidP="000C1333">
    <w:pPr>
      <w:rPr>
        <w:sz w:val="20"/>
      </w:rPr>
    </w:pPr>
    <w:r w:rsidRPr="000C1333">
      <w:rPr>
        <w:sz w:val="20"/>
      </w:rPr>
      <w:t>Stand: 1. Januar 202</w:t>
    </w:r>
    <w:r w:rsidR="00D80343">
      <w:rPr>
        <w:sz w:val="20"/>
      </w:rPr>
      <w:t>5</w:t>
    </w:r>
  </w:p>
  <w:p w14:paraId="3574791F" w14:textId="77777777" w:rsidR="000C1333" w:rsidRDefault="000C1333" w:rsidP="000C1333">
    <w:pPr>
      <w:pStyle w:val="Fuzeile"/>
      <w:jc w:val="right"/>
    </w:pPr>
    <w:r>
      <w:t>Seite 1 von 9</w:t>
    </w:r>
  </w:p>
  <w:p w14:paraId="5057790C"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14CE" w14:textId="77777777" w:rsidR="003847A2" w:rsidRDefault="003847A2">
      <w:r>
        <w:separator/>
      </w:r>
    </w:p>
  </w:footnote>
  <w:footnote w:type="continuationSeparator" w:id="0">
    <w:p w14:paraId="6187F786" w14:textId="77777777" w:rsidR="003847A2" w:rsidRDefault="003847A2">
      <w:r>
        <w:continuationSeparator/>
      </w:r>
    </w:p>
  </w:footnote>
  <w:footnote w:type="continuationNotice" w:id="1">
    <w:p w14:paraId="068DB244" w14:textId="77777777" w:rsidR="00CA265C" w:rsidRDefault="00CA2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C318" w14:textId="77777777" w:rsidR="006D32EB" w:rsidRDefault="006D32EB">
    <w:pPr>
      <w:pStyle w:val="Kopfzeile"/>
      <w:rPr>
        <w:color w:val="808080"/>
      </w:rPr>
    </w:pPr>
  </w:p>
  <w:p w14:paraId="41DB4DD4" w14:textId="77777777" w:rsidR="006D32EB" w:rsidRDefault="006D32EB">
    <w:pPr>
      <w:pStyle w:val="Kopfzeile"/>
      <w:rPr>
        <w:color w:val="808080"/>
      </w:rPr>
    </w:pPr>
  </w:p>
  <w:p w14:paraId="15459D41" w14:textId="77777777" w:rsidR="006D32EB" w:rsidRDefault="006D32EB">
    <w:pPr>
      <w:pStyle w:val="Kopfzeile"/>
      <w:rPr>
        <w:color w:val="808080"/>
      </w:rPr>
    </w:pPr>
  </w:p>
  <w:p w14:paraId="2AAE74EC" w14:textId="77777777" w:rsidR="006D32EB" w:rsidRDefault="006D32EB">
    <w:pPr>
      <w:pStyle w:val="Kopfzeile"/>
      <w:rPr>
        <w:color w:val="808080"/>
      </w:rPr>
    </w:pPr>
  </w:p>
  <w:p w14:paraId="01C83EF4" w14:textId="6AA9C756"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500D" w14:textId="77777777" w:rsidR="000C1333" w:rsidRDefault="000C1333">
    <w:pPr>
      <w:pStyle w:val="Kopfzeile"/>
    </w:pPr>
    <w:r>
      <w:rPr>
        <w:noProof/>
      </w:rPr>
      <w:drawing>
        <wp:inline distT="0" distB="0" distL="0" distR="0" wp14:anchorId="3CCF8C8E" wp14:editId="014FF423">
          <wp:extent cx="2240280" cy="563880"/>
          <wp:effectExtent l="0" t="0" r="7620" b="7620"/>
          <wp:docPr id="2"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DDBD644" w14:textId="77777777" w:rsidR="000C1333" w:rsidRDefault="000C13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3413" w14:textId="77777777" w:rsidR="006D32EB" w:rsidRDefault="00143E73">
    <w:pPr>
      <w:pStyle w:val="Kopfzeile"/>
      <w:rPr>
        <w:color w:val="808080"/>
      </w:rPr>
    </w:pPr>
    <w:r>
      <w:rPr>
        <w:noProof/>
      </w:rPr>
      <w:drawing>
        <wp:inline distT="0" distB="0" distL="0" distR="0" wp14:anchorId="7355A04E" wp14:editId="36F3B604">
          <wp:extent cx="2240280" cy="563880"/>
          <wp:effectExtent l="0" t="0" r="7620" b="7620"/>
          <wp:docPr id="1" name="Grafik 1"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DB17D7D" w14:textId="77777777" w:rsidR="006D32EB" w:rsidRDefault="006D32EB">
    <w:pPr>
      <w:pStyle w:val="Kopfzeile"/>
      <w:rPr>
        <w:color w:val="808080"/>
      </w:rPr>
    </w:pPr>
  </w:p>
  <w:p w14:paraId="1D281448" w14:textId="77777777" w:rsidR="006D32EB" w:rsidRDefault="006D32EB">
    <w:pPr>
      <w:pStyle w:val="Kopfzeile"/>
      <w:rPr>
        <w:color w:val="808080"/>
      </w:rPr>
    </w:pPr>
  </w:p>
  <w:p w14:paraId="259EC8FA" w14:textId="77777777" w:rsidR="006D32EB" w:rsidRDefault="006D32EB">
    <w:pPr>
      <w:pStyle w:val="Kopfzeile"/>
      <w:rPr>
        <w:color w:val="808080"/>
      </w:rPr>
    </w:pPr>
  </w:p>
  <w:p w14:paraId="5790E8D9" w14:textId="11D07D5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2"/>
    <w:rsid w:val="00040811"/>
    <w:rsid w:val="000412DF"/>
    <w:rsid w:val="000459BF"/>
    <w:rsid w:val="000834FA"/>
    <w:rsid w:val="00086F57"/>
    <w:rsid w:val="0009015E"/>
    <w:rsid w:val="000C1333"/>
    <w:rsid w:val="0011284E"/>
    <w:rsid w:val="0011733E"/>
    <w:rsid w:val="00136734"/>
    <w:rsid w:val="00143E73"/>
    <w:rsid w:val="00147F03"/>
    <w:rsid w:val="001535E9"/>
    <w:rsid w:val="00153B0E"/>
    <w:rsid w:val="0016349B"/>
    <w:rsid w:val="001649F2"/>
    <w:rsid w:val="00190B1A"/>
    <w:rsid w:val="001B699B"/>
    <w:rsid w:val="001F23E2"/>
    <w:rsid w:val="00201FD1"/>
    <w:rsid w:val="00202CDD"/>
    <w:rsid w:val="002227DA"/>
    <w:rsid w:val="00222D08"/>
    <w:rsid w:val="002237C2"/>
    <w:rsid w:val="00241514"/>
    <w:rsid w:val="00274202"/>
    <w:rsid w:val="002C0749"/>
    <w:rsid w:val="002C0A64"/>
    <w:rsid w:val="002C2817"/>
    <w:rsid w:val="002C3D04"/>
    <w:rsid w:val="002D6CD6"/>
    <w:rsid w:val="0034279C"/>
    <w:rsid w:val="00373C67"/>
    <w:rsid w:val="003847A2"/>
    <w:rsid w:val="00391D4F"/>
    <w:rsid w:val="00395D50"/>
    <w:rsid w:val="003A3B1C"/>
    <w:rsid w:val="003B1579"/>
    <w:rsid w:val="00400010"/>
    <w:rsid w:val="00424250"/>
    <w:rsid w:val="004247DA"/>
    <w:rsid w:val="004310A4"/>
    <w:rsid w:val="00446658"/>
    <w:rsid w:val="004C47DE"/>
    <w:rsid w:val="004F4085"/>
    <w:rsid w:val="005215DF"/>
    <w:rsid w:val="00526CB3"/>
    <w:rsid w:val="00560028"/>
    <w:rsid w:val="00562FCE"/>
    <w:rsid w:val="00592372"/>
    <w:rsid w:val="005D41B2"/>
    <w:rsid w:val="005D6B25"/>
    <w:rsid w:val="005E3938"/>
    <w:rsid w:val="005E66FD"/>
    <w:rsid w:val="00612DCE"/>
    <w:rsid w:val="0061484D"/>
    <w:rsid w:val="00626355"/>
    <w:rsid w:val="0068771A"/>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E13D6"/>
    <w:rsid w:val="00902FB8"/>
    <w:rsid w:val="00936499"/>
    <w:rsid w:val="00947130"/>
    <w:rsid w:val="00976663"/>
    <w:rsid w:val="009802B0"/>
    <w:rsid w:val="00996DB4"/>
    <w:rsid w:val="009D08BE"/>
    <w:rsid w:val="009D1DD0"/>
    <w:rsid w:val="009E5572"/>
    <w:rsid w:val="00A16A4F"/>
    <w:rsid w:val="00A23525"/>
    <w:rsid w:val="00A53411"/>
    <w:rsid w:val="00A7214C"/>
    <w:rsid w:val="00A963C1"/>
    <w:rsid w:val="00AA31BB"/>
    <w:rsid w:val="00AC0D12"/>
    <w:rsid w:val="00AC69F3"/>
    <w:rsid w:val="00AF1E42"/>
    <w:rsid w:val="00AF2A9C"/>
    <w:rsid w:val="00B0032C"/>
    <w:rsid w:val="00B03F05"/>
    <w:rsid w:val="00B3618A"/>
    <w:rsid w:val="00B637D0"/>
    <w:rsid w:val="00B75D64"/>
    <w:rsid w:val="00B81900"/>
    <w:rsid w:val="00BB6BA0"/>
    <w:rsid w:val="00BC2ED0"/>
    <w:rsid w:val="00BE65D1"/>
    <w:rsid w:val="00C04092"/>
    <w:rsid w:val="00C15D83"/>
    <w:rsid w:val="00C3787A"/>
    <w:rsid w:val="00C4181B"/>
    <w:rsid w:val="00C543B4"/>
    <w:rsid w:val="00C77EE8"/>
    <w:rsid w:val="00C96331"/>
    <w:rsid w:val="00CA265C"/>
    <w:rsid w:val="00CA76D6"/>
    <w:rsid w:val="00CC7AEF"/>
    <w:rsid w:val="00CD4E48"/>
    <w:rsid w:val="00D04337"/>
    <w:rsid w:val="00D04DDB"/>
    <w:rsid w:val="00D56ACC"/>
    <w:rsid w:val="00D6410B"/>
    <w:rsid w:val="00D665F3"/>
    <w:rsid w:val="00D74549"/>
    <w:rsid w:val="00D80343"/>
    <w:rsid w:val="00D81A2E"/>
    <w:rsid w:val="00DA3389"/>
    <w:rsid w:val="00DC2065"/>
    <w:rsid w:val="00DC733C"/>
    <w:rsid w:val="00DD4B22"/>
    <w:rsid w:val="00E000EF"/>
    <w:rsid w:val="00E14FD5"/>
    <w:rsid w:val="00E21725"/>
    <w:rsid w:val="00E66121"/>
    <w:rsid w:val="00E73885"/>
    <w:rsid w:val="00E80777"/>
    <w:rsid w:val="00EC3795"/>
    <w:rsid w:val="00EE64AA"/>
    <w:rsid w:val="00EE6621"/>
    <w:rsid w:val="00F160DD"/>
    <w:rsid w:val="00FA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85737640-A42E-493D-94B8-445F3B36C00C}">
  <ds:schemaRefs>
    <ds:schemaRef ds:uri="http://schemas.microsoft.com/sharepoint/v3/contenttype/forms"/>
  </ds:schemaRefs>
</ds:datastoreItem>
</file>

<file path=customXml/itemProps2.xml><?xml version="1.0" encoding="utf-8"?>
<ds:datastoreItem xmlns:ds="http://schemas.openxmlformats.org/officeDocument/2006/customXml" ds:itemID="{78CBEDA8-87B5-4989-802E-16F64494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customXml/itemProps4.xml><?xml version="1.0" encoding="utf-8"?>
<ds:datastoreItem xmlns:ds="http://schemas.openxmlformats.org/officeDocument/2006/customXml" ds:itemID="{497004A2-B871-45CD-954C-444F52CD55E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3326</Words>
  <Characters>20957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2016-03-02T15:15:00Z</cp:lastPrinted>
  <dcterms:created xsi:type="dcterms:W3CDTF">2025-09-04T12:06:00Z</dcterms:created>
  <dcterms:modified xsi:type="dcterms:W3CDTF">2025-09-04T12:06:00Z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